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FF" w:rsidRDefault="00101FFF" w:rsidP="0002665F">
      <w:pPr>
        <w:pStyle w:val="doc"/>
        <w:spacing w:after="0" w:line="240" w:lineRule="auto"/>
        <w:rPr>
          <w:sz w:val="24"/>
          <w:szCs w:val="24"/>
        </w:rPr>
      </w:pPr>
      <w:r>
        <w:rPr>
          <w:sz w:val="24"/>
          <w:szCs w:val="24"/>
        </w:rPr>
        <w:t>Osnovna škola Zamet</w:t>
      </w:r>
    </w:p>
    <w:p w:rsidR="00101FFF" w:rsidRDefault="00101FFF" w:rsidP="0002665F">
      <w:pPr>
        <w:pStyle w:val="doc"/>
        <w:spacing w:after="0" w:line="240" w:lineRule="auto"/>
        <w:rPr>
          <w:sz w:val="24"/>
          <w:szCs w:val="24"/>
        </w:rPr>
      </w:pPr>
      <w:r>
        <w:rPr>
          <w:sz w:val="24"/>
          <w:szCs w:val="24"/>
        </w:rPr>
        <w:t xml:space="preserve">Bože </w:t>
      </w:r>
      <w:proofErr w:type="spellStart"/>
      <w:r>
        <w:rPr>
          <w:sz w:val="24"/>
          <w:szCs w:val="24"/>
        </w:rPr>
        <w:t>Vidasa</w:t>
      </w:r>
      <w:proofErr w:type="spellEnd"/>
      <w:r>
        <w:rPr>
          <w:sz w:val="24"/>
          <w:szCs w:val="24"/>
        </w:rPr>
        <w:t xml:space="preserve"> 12</w:t>
      </w:r>
    </w:p>
    <w:p w:rsidR="00101FFF" w:rsidRDefault="00101FFF" w:rsidP="0002665F">
      <w:pPr>
        <w:pStyle w:val="doc"/>
        <w:spacing w:after="0" w:line="240" w:lineRule="auto"/>
        <w:rPr>
          <w:sz w:val="24"/>
          <w:szCs w:val="24"/>
        </w:rPr>
      </w:pPr>
      <w:r>
        <w:rPr>
          <w:sz w:val="24"/>
          <w:szCs w:val="24"/>
        </w:rPr>
        <w:t>RIJEKA</w:t>
      </w:r>
    </w:p>
    <w:p w:rsidR="00101FFF" w:rsidRDefault="00101FFF" w:rsidP="00101FFF">
      <w:pPr>
        <w:pStyle w:val="doc"/>
        <w:spacing w:after="0" w:line="240" w:lineRule="auto"/>
        <w:jc w:val="left"/>
        <w:rPr>
          <w:sz w:val="24"/>
          <w:szCs w:val="24"/>
        </w:rPr>
      </w:pPr>
      <w:r>
        <w:rPr>
          <w:sz w:val="24"/>
          <w:szCs w:val="24"/>
        </w:rPr>
        <w:t>Klasa:</w:t>
      </w:r>
    </w:p>
    <w:p w:rsidR="00101FFF" w:rsidRDefault="00101FFF" w:rsidP="00101FFF">
      <w:pPr>
        <w:pStyle w:val="doc"/>
        <w:spacing w:after="0" w:line="240" w:lineRule="auto"/>
        <w:jc w:val="left"/>
        <w:rPr>
          <w:sz w:val="24"/>
          <w:szCs w:val="24"/>
        </w:rPr>
      </w:pPr>
      <w:proofErr w:type="spellStart"/>
      <w:r>
        <w:rPr>
          <w:sz w:val="24"/>
          <w:szCs w:val="24"/>
        </w:rPr>
        <w:t>Urbroj</w:t>
      </w:r>
      <w:proofErr w:type="spellEnd"/>
      <w:r>
        <w:rPr>
          <w:sz w:val="24"/>
          <w:szCs w:val="24"/>
        </w:rPr>
        <w:t>:</w:t>
      </w:r>
    </w:p>
    <w:p w:rsidR="00101FFF" w:rsidRDefault="00101FFF" w:rsidP="00101FFF">
      <w:pPr>
        <w:pStyle w:val="doc"/>
        <w:spacing w:after="0" w:line="240" w:lineRule="auto"/>
        <w:jc w:val="left"/>
        <w:rPr>
          <w:sz w:val="24"/>
          <w:szCs w:val="24"/>
        </w:rPr>
      </w:pPr>
      <w:r>
        <w:rPr>
          <w:sz w:val="24"/>
          <w:szCs w:val="24"/>
        </w:rPr>
        <w:t>Rijeka, 21. veljače 2020.g.</w:t>
      </w:r>
    </w:p>
    <w:p w:rsidR="00101FFF" w:rsidRDefault="00101FFF" w:rsidP="00101FFF">
      <w:pPr>
        <w:pStyle w:val="doc"/>
        <w:spacing w:after="0" w:line="240" w:lineRule="auto"/>
        <w:jc w:val="center"/>
        <w:rPr>
          <w:sz w:val="24"/>
          <w:szCs w:val="24"/>
        </w:rPr>
      </w:pPr>
    </w:p>
    <w:p w:rsidR="00101FFF" w:rsidRDefault="00101FFF" w:rsidP="00101FFF">
      <w:pPr>
        <w:pStyle w:val="doc"/>
        <w:spacing w:after="0" w:line="240" w:lineRule="auto"/>
        <w:jc w:val="center"/>
        <w:rPr>
          <w:sz w:val="24"/>
          <w:szCs w:val="24"/>
        </w:rPr>
      </w:pPr>
    </w:p>
    <w:p w:rsidR="00101FFF" w:rsidRDefault="00101FFF" w:rsidP="00101FFF">
      <w:pPr>
        <w:pStyle w:val="doc"/>
        <w:spacing w:after="0" w:line="240" w:lineRule="auto"/>
        <w:jc w:val="center"/>
        <w:rPr>
          <w:sz w:val="24"/>
          <w:szCs w:val="24"/>
        </w:rPr>
      </w:pPr>
    </w:p>
    <w:p w:rsidR="00101FFF" w:rsidRPr="00101FFF" w:rsidRDefault="00101FFF" w:rsidP="00101FFF">
      <w:pPr>
        <w:pStyle w:val="doc"/>
        <w:spacing w:after="0" w:line="240" w:lineRule="auto"/>
        <w:jc w:val="center"/>
        <w:rPr>
          <w:b/>
          <w:sz w:val="28"/>
          <w:szCs w:val="28"/>
        </w:rPr>
      </w:pPr>
      <w:r w:rsidRPr="00101FFF">
        <w:rPr>
          <w:b/>
          <w:sz w:val="28"/>
          <w:szCs w:val="28"/>
        </w:rPr>
        <w:t>IZVJEŠTAJ O IZVRŠENJU FINANCIJSKOG PLANA ZA 2019.G.</w:t>
      </w:r>
    </w:p>
    <w:p w:rsidR="00101FFF" w:rsidRDefault="00101FFF" w:rsidP="00101FFF">
      <w:pPr>
        <w:pStyle w:val="doc"/>
        <w:spacing w:after="0" w:line="240" w:lineRule="auto"/>
        <w:jc w:val="center"/>
        <w:rPr>
          <w:sz w:val="24"/>
          <w:szCs w:val="24"/>
        </w:rPr>
      </w:pPr>
    </w:p>
    <w:p w:rsidR="00101FFF" w:rsidRDefault="00101FFF" w:rsidP="00101FFF">
      <w:pPr>
        <w:pStyle w:val="doc"/>
        <w:spacing w:after="0" w:line="240" w:lineRule="auto"/>
        <w:jc w:val="center"/>
        <w:rPr>
          <w:sz w:val="24"/>
          <w:szCs w:val="24"/>
        </w:rPr>
      </w:pPr>
    </w:p>
    <w:p w:rsidR="00101FFF" w:rsidRDefault="00101FFF" w:rsidP="00101FFF">
      <w:pPr>
        <w:pStyle w:val="doc"/>
        <w:spacing w:after="0" w:line="240" w:lineRule="auto"/>
        <w:jc w:val="center"/>
        <w:rPr>
          <w:sz w:val="24"/>
          <w:szCs w:val="24"/>
        </w:rPr>
      </w:pPr>
    </w:p>
    <w:p w:rsidR="0002665F" w:rsidRDefault="0002665F" w:rsidP="0002665F">
      <w:pPr>
        <w:pStyle w:val="doc"/>
        <w:spacing w:after="0" w:line="240" w:lineRule="auto"/>
        <w:rPr>
          <w:b/>
          <w:i/>
          <w:sz w:val="24"/>
          <w:szCs w:val="24"/>
        </w:rPr>
      </w:pPr>
      <w:r>
        <w:rPr>
          <w:b/>
          <w:i/>
          <w:sz w:val="24"/>
          <w:szCs w:val="24"/>
        </w:rPr>
        <w:t>Prihodi i</w:t>
      </w:r>
      <w:r>
        <w:rPr>
          <w:b/>
          <w:i/>
          <w:sz w:val="24"/>
          <w:szCs w:val="24"/>
        </w:rPr>
        <w:t xml:space="preserve">z poslovanja u kunama, Plan tekuće godine te ostvarenje </w:t>
      </w:r>
      <w:r w:rsidR="00101FFF">
        <w:rPr>
          <w:b/>
          <w:i/>
          <w:sz w:val="24"/>
          <w:szCs w:val="24"/>
        </w:rPr>
        <w:t>2018.</w:t>
      </w:r>
      <w:r>
        <w:rPr>
          <w:b/>
          <w:i/>
          <w:sz w:val="24"/>
          <w:szCs w:val="24"/>
        </w:rPr>
        <w:t xml:space="preserve"> godina </w:t>
      </w:r>
    </w:p>
    <w:p w:rsidR="0002665F" w:rsidRDefault="0002665F" w:rsidP="0002665F">
      <w:pPr>
        <w:pStyle w:val="doc"/>
        <w:spacing w:after="0" w:line="240" w:lineRule="auto"/>
        <w:ind w:left="720"/>
        <w:rPr>
          <w:sz w:val="24"/>
          <w:szCs w:val="24"/>
        </w:rPr>
      </w:pPr>
    </w:p>
    <w:tbl>
      <w:tblPr>
        <w:tblW w:w="9894"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53"/>
        <w:gridCol w:w="1597"/>
        <w:gridCol w:w="1687"/>
        <w:gridCol w:w="1589"/>
        <w:gridCol w:w="961"/>
        <w:gridCol w:w="1107"/>
      </w:tblGrid>
      <w:tr w:rsidR="0002665F" w:rsidTr="0002665F">
        <w:trPr>
          <w:trHeight w:val="343"/>
        </w:trPr>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Opis</w:t>
            </w:r>
          </w:p>
        </w:tc>
        <w:tc>
          <w:tcPr>
            <w:tcW w:w="159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tabs>
                <w:tab w:val="center" w:pos="890"/>
              </w:tabs>
              <w:spacing w:after="0" w:line="240" w:lineRule="auto"/>
              <w:jc w:val="center"/>
              <w:rPr>
                <w:b/>
              </w:rPr>
            </w:pPr>
            <w:r>
              <w:rPr>
                <w:b/>
              </w:rPr>
              <w:t>Ostvarenje 2018.</w:t>
            </w:r>
          </w:p>
          <w:p w:rsidR="0002665F" w:rsidRDefault="0002665F">
            <w:pPr>
              <w:pStyle w:val="doc"/>
              <w:tabs>
                <w:tab w:val="center" w:pos="890"/>
              </w:tabs>
              <w:spacing w:after="0" w:line="240" w:lineRule="auto"/>
              <w:jc w:val="center"/>
              <w:rPr>
                <w:b/>
              </w:rPr>
            </w:pPr>
          </w:p>
        </w:tc>
        <w:tc>
          <w:tcPr>
            <w:tcW w:w="168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center"/>
              <w:rPr>
                <w:b/>
              </w:rPr>
            </w:pPr>
            <w:r>
              <w:rPr>
                <w:b/>
              </w:rPr>
              <w:t>Godišnji plan</w:t>
            </w:r>
          </w:p>
          <w:p w:rsidR="0002665F" w:rsidRDefault="0002665F">
            <w:pPr>
              <w:pStyle w:val="doc"/>
              <w:spacing w:after="0" w:line="240" w:lineRule="auto"/>
              <w:jc w:val="center"/>
              <w:rPr>
                <w:b/>
              </w:rPr>
            </w:pPr>
            <w:r>
              <w:rPr>
                <w:b/>
              </w:rPr>
              <w:t>2019.</w:t>
            </w:r>
          </w:p>
          <w:p w:rsidR="0002665F" w:rsidRDefault="0002665F">
            <w:pPr>
              <w:pStyle w:val="doc"/>
              <w:spacing w:after="0" w:line="240" w:lineRule="auto"/>
              <w:jc w:val="center"/>
              <w:rPr>
                <w:b/>
              </w:rPr>
            </w:pPr>
          </w:p>
        </w:tc>
        <w:tc>
          <w:tcPr>
            <w:tcW w:w="1589"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Ostvarenje</w:t>
            </w:r>
          </w:p>
          <w:p w:rsidR="0002665F" w:rsidRDefault="0002665F">
            <w:pPr>
              <w:pStyle w:val="doc"/>
              <w:spacing w:after="0" w:line="240" w:lineRule="auto"/>
              <w:jc w:val="center"/>
              <w:rPr>
                <w:b/>
              </w:rPr>
            </w:pPr>
            <w:r>
              <w:rPr>
                <w:b/>
              </w:rPr>
              <w:t>2019.</w:t>
            </w:r>
          </w:p>
        </w:tc>
        <w:tc>
          <w:tcPr>
            <w:tcW w:w="961"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tabs>
                <w:tab w:val="center" w:pos="740"/>
              </w:tabs>
              <w:spacing w:after="0" w:line="240" w:lineRule="auto"/>
              <w:jc w:val="center"/>
              <w:rPr>
                <w:b/>
              </w:rPr>
            </w:pPr>
            <w:r>
              <w:rPr>
                <w:b/>
              </w:rPr>
              <w:t>Indeks</w:t>
            </w:r>
          </w:p>
          <w:p w:rsidR="0002665F" w:rsidRDefault="0002665F">
            <w:pPr>
              <w:pStyle w:val="doc"/>
              <w:tabs>
                <w:tab w:val="center" w:pos="740"/>
              </w:tabs>
              <w:spacing w:after="0" w:line="240" w:lineRule="auto"/>
              <w:jc w:val="center"/>
              <w:rPr>
                <w:b/>
              </w:rPr>
            </w:pPr>
            <w:r>
              <w:rPr>
                <w:b/>
              </w:rPr>
              <w:t>(4/3)</w:t>
            </w:r>
          </w:p>
          <w:p w:rsidR="0002665F" w:rsidRDefault="0002665F">
            <w:pPr>
              <w:pStyle w:val="doc"/>
              <w:tabs>
                <w:tab w:val="center" w:pos="740"/>
              </w:tabs>
              <w:spacing w:after="0" w:line="240" w:lineRule="auto"/>
              <w:jc w:val="center"/>
              <w:rPr>
                <w:b/>
              </w:rPr>
            </w:pPr>
          </w:p>
        </w:tc>
        <w:tc>
          <w:tcPr>
            <w:tcW w:w="110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tabs>
                <w:tab w:val="center" w:pos="740"/>
              </w:tabs>
              <w:spacing w:after="0" w:line="240" w:lineRule="auto"/>
              <w:jc w:val="center"/>
              <w:rPr>
                <w:b/>
              </w:rPr>
            </w:pPr>
            <w:r>
              <w:rPr>
                <w:b/>
              </w:rPr>
              <w:t>Indeks</w:t>
            </w:r>
          </w:p>
          <w:p w:rsidR="0002665F" w:rsidRDefault="0002665F">
            <w:pPr>
              <w:pStyle w:val="doc"/>
              <w:tabs>
                <w:tab w:val="center" w:pos="740"/>
              </w:tabs>
              <w:spacing w:after="0" w:line="240" w:lineRule="auto"/>
              <w:jc w:val="center"/>
              <w:rPr>
                <w:b/>
              </w:rPr>
            </w:pPr>
            <w:r>
              <w:rPr>
                <w:b/>
              </w:rPr>
              <w:t>(4/2)</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2</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3</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4</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5</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6</w:t>
            </w:r>
          </w:p>
        </w:tc>
      </w:tr>
      <w:tr w:rsidR="0002665F" w:rsidTr="0002665F">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left"/>
              <w:rPr>
                <w:b/>
              </w:rPr>
            </w:pPr>
            <w:r>
              <w:rPr>
                <w:b/>
              </w:rPr>
              <w:t xml:space="preserve">Prihodi iz poslovanja ukupno </w:t>
            </w:r>
          </w:p>
          <w:p w:rsidR="0002665F" w:rsidRDefault="0002665F">
            <w:pPr>
              <w:pStyle w:val="doc"/>
              <w:spacing w:after="0" w:line="240" w:lineRule="auto"/>
              <w:jc w:val="left"/>
              <w:rPr>
                <w:b/>
              </w:rPr>
            </w:pPr>
            <w:r>
              <w:rPr>
                <w:b/>
              </w:rPr>
              <w:t>(u nastavku popis po izvorima:) 6</w:t>
            </w:r>
          </w:p>
        </w:tc>
        <w:tc>
          <w:tcPr>
            <w:tcW w:w="159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10.269.985</w:t>
            </w:r>
          </w:p>
        </w:tc>
        <w:tc>
          <w:tcPr>
            <w:tcW w:w="168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11.864.951</w:t>
            </w:r>
          </w:p>
        </w:tc>
        <w:tc>
          <w:tcPr>
            <w:tcW w:w="1589"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11.233.588</w:t>
            </w:r>
          </w:p>
        </w:tc>
        <w:tc>
          <w:tcPr>
            <w:tcW w:w="961"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94,68</w:t>
            </w:r>
          </w:p>
        </w:tc>
        <w:tc>
          <w:tcPr>
            <w:tcW w:w="110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109,38</w:t>
            </w:r>
          </w:p>
        </w:tc>
      </w:tr>
      <w:tr w:rsidR="0002665F" w:rsidTr="0002665F">
        <w:tc>
          <w:tcPr>
            <w:tcW w:w="2953"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left"/>
              <w:rPr>
                <w:b/>
              </w:rPr>
            </w:pPr>
          </w:p>
        </w:tc>
        <w:tc>
          <w:tcPr>
            <w:tcW w:w="159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right"/>
              <w:rPr>
                <w:b/>
              </w:rPr>
            </w:pPr>
          </w:p>
        </w:tc>
        <w:tc>
          <w:tcPr>
            <w:tcW w:w="168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right"/>
              <w:rPr>
                <w:b/>
              </w:rPr>
            </w:pPr>
          </w:p>
        </w:tc>
        <w:tc>
          <w:tcPr>
            <w:tcW w:w="1589"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right"/>
              <w:rPr>
                <w:b/>
              </w:rPr>
            </w:pPr>
          </w:p>
        </w:tc>
        <w:tc>
          <w:tcPr>
            <w:tcW w:w="961"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center"/>
              <w:rPr>
                <w:b/>
              </w:rPr>
            </w:pPr>
          </w:p>
        </w:tc>
        <w:tc>
          <w:tcPr>
            <w:tcW w:w="110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center"/>
              <w:rPr>
                <w:b/>
              </w:rPr>
            </w:pPr>
          </w:p>
        </w:tc>
      </w:tr>
      <w:tr w:rsidR="0002665F" w:rsidTr="0002665F">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left"/>
              <w:rPr>
                <w:b/>
              </w:rPr>
            </w:pPr>
            <w:r>
              <w:rPr>
                <w:b/>
                <w:sz w:val="18"/>
                <w:szCs w:val="18"/>
              </w:rPr>
              <w:t>Pomoći iz inozemstva i od subjekata unutar općeg proračuna 63</w:t>
            </w:r>
          </w:p>
        </w:tc>
        <w:tc>
          <w:tcPr>
            <w:tcW w:w="159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8.067.435</w:t>
            </w:r>
          </w:p>
        </w:tc>
        <w:tc>
          <w:tcPr>
            <w:tcW w:w="168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9.580.510</w:t>
            </w:r>
          </w:p>
        </w:tc>
        <w:tc>
          <w:tcPr>
            <w:tcW w:w="1589"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9.037.964</w:t>
            </w:r>
          </w:p>
        </w:tc>
        <w:tc>
          <w:tcPr>
            <w:tcW w:w="961"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94,34</w:t>
            </w:r>
          </w:p>
        </w:tc>
        <w:tc>
          <w:tcPr>
            <w:tcW w:w="110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112,03</w:t>
            </w:r>
          </w:p>
        </w:tc>
      </w:tr>
      <w:tr w:rsidR="0002665F" w:rsidTr="0002665F">
        <w:tc>
          <w:tcPr>
            <w:tcW w:w="2953" w:type="dxa"/>
            <w:tcBorders>
              <w:top w:val="dotted" w:sz="4" w:space="0" w:color="auto"/>
              <w:left w:val="double" w:sz="4" w:space="0" w:color="auto"/>
              <w:bottom w:val="dotted" w:sz="4" w:space="0" w:color="auto"/>
              <w:right w:val="dotted" w:sz="4" w:space="0" w:color="auto"/>
            </w:tcBorders>
            <w:hideMark/>
          </w:tcPr>
          <w:p w:rsidR="0002665F" w:rsidRDefault="0002665F">
            <w:pPr>
              <w:pStyle w:val="doc"/>
              <w:spacing w:after="0" w:line="240" w:lineRule="auto"/>
              <w:jc w:val="left"/>
              <w:rPr>
                <w:sz w:val="18"/>
                <w:szCs w:val="18"/>
              </w:rPr>
            </w:pPr>
            <w:r>
              <w:rPr>
                <w:sz w:val="18"/>
                <w:szCs w:val="18"/>
              </w:rPr>
              <w:t>Pomoći proračunskim korisnicima iz proračuna koji im nije nadležan (MZO) 636</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7.973.149</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8.976.505</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8.390.012</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93,47</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105,23</w:t>
            </w:r>
          </w:p>
        </w:tc>
      </w:tr>
      <w:tr w:rsidR="0002665F" w:rsidTr="0002665F">
        <w:tc>
          <w:tcPr>
            <w:tcW w:w="2953" w:type="dxa"/>
            <w:tcBorders>
              <w:top w:val="dotted" w:sz="4" w:space="0" w:color="auto"/>
              <w:left w:val="double" w:sz="4" w:space="0" w:color="auto"/>
              <w:bottom w:val="dotted" w:sz="4" w:space="0" w:color="auto"/>
              <w:right w:val="dotted" w:sz="4" w:space="0" w:color="auto"/>
            </w:tcBorders>
            <w:hideMark/>
          </w:tcPr>
          <w:p w:rsidR="0002665F" w:rsidRDefault="0002665F">
            <w:pPr>
              <w:pStyle w:val="doc"/>
              <w:spacing w:after="0" w:line="240" w:lineRule="auto"/>
              <w:jc w:val="left"/>
              <w:rPr>
                <w:sz w:val="18"/>
                <w:szCs w:val="18"/>
              </w:rPr>
            </w:pPr>
            <w:r>
              <w:rPr>
                <w:sz w:val="18"/>
                <w:szCs w:val="18"/>
              </w:rPr>
              <w:t>Pomoći proračunskim korisnicima iz proračuna koji im nije nadležan (JLP(R)</w:t>
            </w:r>
            <w:proofErr w:type="spellStart"/>
            <w:r>
              <w:rPr>
                <w:sz w:val="18"/>
                <w:szCs w:val="18"/>
              </w:rPr>
              <w:t>S+ostala</w:t>
            </w:r>
            <w:proofErr w:type="spellEnd"/>
            <w:r>
              <w:rPr>
                <w:sz w:val="18"/>
                <w:szCs w:val="18"/>
              </w:rPr>
              <w:t xml:space="preserve"> Ministarstva) 636</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54.050</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567.005</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615.356</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108,53</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1138,49</w:t>
            </w:r>
          </w:p>
        </w:tc>
      </w:tr>
      <w:tr w:rsidR="0002665F" w:rsidTr="0002665F">
        <w:tc>
          <w:tcPr>
            <w:tcW w:w="2953" w:type="dxa"/>
            <w:tcBorders>
              <w:top w:val="dotted" w:sz="4" w:space="0" w:color="auto"/>
              <w:left w:val="double" w:sz="4" w:space="0" w:color="auto"/>
              <w:bottom w:val="dotted" w:sz="4" w:space="0" w:color="auto"/>
              <w:right w:val="dotted" w:sz="4" w:space="0" w:color="auto"/>
            </w:tcBorders>
            <w:hideMark/>
          </w:tcPr>
          <w:p w:rsidR="0002665F" w:rsidRDefault="0002665F">
            <w:pPr>
              <w:pStyle w:val="doc"/>
              <w:spacing w:after="0" w:line="240" w:lineRule="auto"/>
              <w:jc w:val="left"/>
              <w:rPr>
                <w:sz w:val="18"/>
                <w:szCs w:val="18"/>
              </w:rPr>
            </w:pPr>
            <w:r>
              <w:rPr>
                <w:sz w:val="18"/>
                <w:szCs w:val="18"/>
              </w:rPr>
              <w:t>Pomoći iz državnog proračuna temeljem prijenosa EU sredstava  638</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40.236</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37.000</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32.596</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88,10</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81,01</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sz w:val="18"/>
                <w:szCs w:val="18"/>
              </w:rPr>
            </w:pPr>
            <w:r>
              <w:rPr>
                <w:sz w:val="18"/>
                <w:szCs w:val="18"/>
              </w:rPr>
              <w:t>Prijenosi između proračunskih korisnika  istog proračuna 639</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68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8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b/>
                <w:sz w:val="18"/>
                <w:szCs w:val="18"/>
              </w:rPr>
            </w:pPr>
            <w:r>
              <w:rPr>
                <w:b/>
                <w:sz w:val="18"/>
                <w:szCs w:val="18"/>
              </w:rPr>
              <w:t>Prihodi od imovine 64</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68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8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sz w:val="18"/>
                <w:szCs w:val="18"/>
              </w:rPr>
            </w:pPr>
            <w:r>
              <w:rPr>
                <w:sz w:val="18"/>
                <w:szCs w:val="18"/>
              </w:rPr>
              <w:t>Prihodi od financijske imovine 641</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68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8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sz w:val="18"/>
                <w:szCs w:val="18"/>
              </w:rPr>
            </w:pPr>
            <w:r>
              <w:rPr>
                <w:sz w:val="18"/>
                <w:szCs w:val="18"/>
              </w:rPr>
              <w:t>Prihodi od nefinancijske imovine 642</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68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8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b/>
                <w:sz w:val="18"/>
                <w:szCs w:val="18"/>
              </w:rPr>
            </w:pPr>
            <w:r>
              <w:rPr>
                <w:b/>
                <w:sz w:val="18"/>
                <w:szCs w:val="18"/>
              </w:rPr>
              <w:t>Prihodi po posebnim propisima 652</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926.396</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956.153</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883.905</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92,44</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95,41</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b/>
                <w:sz w:val="18"/>
                <w:szCs w:val="18"/>
              </w:rPr>
            </w:pPr>
            <w:r>
              <w:rPr>
                <w:b/>
                <w:sz w:val="18"/>
                <w:szCs w:val="18"/>
              </w:rPr>
              <w:t>Prihodi od prodaje proizvoda i robe te pruženih usluga 661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101.129</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74.000</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85.605</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115,68</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84,65</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b/>
                <w:sz w:val="18"/>
                <w:szCs w:val="18"/>
              </w:rPr>
            </w:pPr>
            <w:r>
              <w:rPr>
                <w:b/>
                <w:sz w:val="18"/>
                <w:szCs w:val="18"/>
              </w:rPr>
              <w:t>Donacije od pravnih i fizičkih osoba izvan općeg proračuna 663</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8.068</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5.768</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8.626</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149,55</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106,92</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b/>
                <w:sz w:val="18"/>
                <w:szCs w:val="18"/>
              </w:rPr>
            </w:pPr>
            <w:r>
              <w:rPr>
                <w:b/>
                <w:sz w:val="18"/>
                <w:szCs w:val="18"/>
              </w:rPr>
              <w:t>Prihodi iz nadležnog proračuna – Grad Rijeka 67</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1.162.293</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1.242.520</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1.213.792</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97,69</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104,43</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sz w:val="18"/>
                <w:szCs w:val="18"/>
              </w:rPr>
            </w:pPr>
            <w:r>
              <w:rPr>
                <w:sz w:val="18"/>
                <w:szCs w:val="18"/>
              </w:rPr>
              <w:t>Prihodi iz proračuna Grada Rijeke (decentralizirana sredstva – OŠ) 671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757.525</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751.000</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758.204</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100,96</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100,09</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sz w:val="18"/>
                <w:szCs w:val="18"/>
              </w:rPr>
            </w:pPr>
            <w:r>
              <w:rPr>
                <w:sz w:val="18"/>
                <w:szCs w:val="18"/>
              </w:rPr>
              <w:t>Prihodi iz proračuna Grada Rijeke (iznad zakonski standard-OŠ i ostalo-DV i DM) 671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404.768</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491.520</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455.588</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92,69</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112,55</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rPr>
                <w:b/>
                <w:sz w:val="18"/>
                <w:szCs w:val="18"/>
              </w:rPr>
            </w:pPr>
            <w:r>
              <w:rPr>
                <w:b/>
                <w:sz w:val="18"/>
                <w:szCs w:val="18"/>
              </w:rPr>
              <w:t>Ostali prihodi 683</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4.664</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6.000</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3.696</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61,6</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79,25</w:t>
            </w:r>
          </w:p>
        </w:tc>
      </w:tr>
    </w:tbl>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i/>
          <w:sz w:val="24"/>
          <w:szCs w:val="24"/>
        </w:rPr>
      </w:pPr>
      <w:r>
        <w:rPr>
          <w:sz w:val="24"/>
          <w:szCs w:val="24"/>
        </w:rPr>
        <w:t xml:space="preserve">Bilješka: </w:t>
      </w:r>
    </w:p>
    <w:p w:rsidR="0002665F" w:rsidRDefault="0002665F" w:rsidP="0002665F">
      <w:pPr>
        <w:pStyle w:val="doc"/>
        <w:spacing w:after="0" w:line="240" w:lineRule="auto"/>
        <w:rPr>
          <w:i/>
          <w:sz w:val="24"/>
          <w:szCs w:val="24"/>
        </w:rPr>
      </w:pPr>
    </w:p>
    <w:p w:rsidR="0002665F" w:rsidRDefault="0002665F" w:rsidP="0002665F">
      <w:pPr>
        <w:pStyle w:val="doc"/>
        <w:spacing w:after="0" w:line="240" w:lineRule="auto"/>
        <w:rPr>
          <w:i/>
          <w:sz w:val="24"/>
          <w:szCs w:val="24"/>
        </w:rPr>
      </w:pPr>
      <w:r>
        <w:rPr>
          <w:i/>
          <w:sz w:val="24"/>
          <w:szCs w:val="24"/>
        </w:rPr>
        <w:t>U razdoblju siječanj – prosinac ostvaren je ukupan prihod u visini od 11.237.117 kuna od čega najveći dio 8.390.012 kn pripada prihodima iz Proračuna za financiranje redovne djelatnosti (plaće za redovan rad, prekovremeni rad, posebne uvjete rada, smjenski rad, prijevoz zaposlenika te prihodi za ostale rashode za zaposlene npr. pomoći, jubilarne nagrade, otpremnine, regres, dar djeci i božićnice). Iz proračuna su pristigla novčana sredstva za prijevoz učenicima s teškoćama u razvoju koji putuju na dodatne tretmane u određene ustanove i to 8.339 kn. Uplaćen je iznos za voditelja ŽSV RN 2.000 kn. Od MZO ostvarujemo prihod za uplatu doprinosa zbog nezapošljavanja invalida. Ministarstvo znanosti je u ovom obračunskom razdoblju, a za šk. god. 2019./2020. uplatilo sredstva za nabavu školskih udžbenika u iznosu od 444.237 kn.</w:t>
      </w:r>
    </w:p>
    <w:p w:rsidR="0002665F" w:rsidRDefault="0002665F" w:rsidP="0002665F">
      <w:pPr>
        <w:pStyle w:val="doc"/>
        <w:spacing w:after="0" w:line="240" w:lineRule="auto"/>
        <w:rPr>
          <w:i/>
          <w:sz w:val="24"/>
          <w:szCs w:val="24"/>
        </w:rPr>
      </w:pPr>
      <w:r>
        <w:rPr>
          <w:i/>
          <w:sz w:val="24"/>
          <w:szCs w:val="24"/>
        </w:rPr>
        <w:t>Ministarstvo je školi uplatilo iznos od 6.000 kn za nabavu školske lektire.</w:t>
      </w:r>
    </w:p>
    <w:p w:rsidR="0002665F" w:rsidRDefault="0002665F" w:rsidP="0002665F">
      <w:pPr>
        <w:pStyle w:val="doc"/>
        <w:spacing w:after="0" w:line="240" w:lineRule="auto"/>
        <w:rPr>
          <w:i/>
          <w:sz w:val="24"/>
          <w:szCs w:val="24"/>
        </w:rPr>
      </w:pPr>
      <w:r>
        <w:rPr>
          <w:i/>
          <w:sz w:val="24"/>
          <w:szCs w:val="24"/>
        </w:rPr>
        <w:t xml:space="preserve">Za provedbu i podršku Cjelovite </w:t>
      </w:r>
      <w:proofErr w:type="spellStart"/>
      <w:r>
        <w:rPr>
          <w:i/>
          <w:sz w:val="24"/>
          <w:szCs w:val="24"/>
        </w:rPr>
        <w:t>kurikularne</w:t>
      </w:r>
      <w:proofErr w:type="spellEnd"/>
      <w:r>
        <w:rPr>
          <w:i/>
          <w:sz w:val="24"/>
          <w:szCs w:val="24"/>
        </w:rPr>
        <w:t xml:space="preserve"> reforme iz Proračuna su pristigla novčana sredstva za nabavu opreme i materijala u iznosu od 127.100 kn, a za troškove reprezentacije kao domaćini provedbe </w:t>
      </w:r>
      <w:proofErr w:type="spellStart"/>
      <w:r>
        <w:rPr>
          <w:i/>
          <w:sz w:val="24"/>
          <w:szCs w:val="24"/>
        </w:rPr>
        <w:t>Kurik</w:t>
      </w:r>
      <w:proofErr w:type="spellEnd"/>
      <w:r>
        <w:rPr>
          <w:i/>
          <w:sz w:val="24"/>
          <w:szCs w:val="24"/>
        </w:rPr>
        <w:t>. reforme uplaćen je iznos od 6.814 kn.</w:t>
      </w:r>
    </w:p>
    <w:p w:rsidR="0002665F" w:rsidRDefault="0002665F" w:rsidP="0002665F">
      <w:pPr>
        <w:pStyle w:val="doc"/>
        <w:spacing w:after="0" w:line="240" w:lineRule="auto"/>
        <w:rPr>
          <w:i/>
          <w:sz w:val="24"/>
          <w:szCs w:val="24"/>
        </w:rPr>
      </w:pPr>
      <w:r>
        <w:rPr>
          <w:i/>
          <w:sz w:val="24"/>
          <w:szCs w:val="24"/>
        </w:rPr>
        <w:t>U školi se obilježio dan pod nazivom Medni dan čiji projekt je financiralo MZO u iznosu od 2.295 kn. U 2019.g. pristigla su sredstva koja su namijenjena za isplatu mentorstva učiteljima mentorima u iznosu od 5.184 kn.</w:t>
      </w:r>
    </w:p>
    <w:p w:rsidR="0002665F" w:rsidRDefault="0002665F" w:rsidP="0002665F">
      <w:pPr>
        <w:pStyle w:val="doc"/>
        <w:spacing w:after="0" w:line="240" w:lineRule="auto"/>
        <w:rPr>
          <w:i/>
          <w:sz w:val="24"/>
          <w:szCs w:val="24"/>
        </w:rPr>
      </w:pPr>
      <w:r>
        <w:rPr>
          <w:i/>
          <w:sz w:val="24"/>
          <w:szCs w:val="24"/>
        </w:rPr>
        <w:t xml:space="preserve">MZO financira troškove PDV-a za provedbu Programa Školska shema te je uplatio ukupno 5.377 kn. </w:t>
      </w:r>
    </w:p>
    <w:p w:rsidR="0002665F" w:rsidRDefault="0002665F" w:rsidP="0002665F">
      <w:pPr>
        <w:pStyle w:val="doc"/>
        <w:spacing w:after="0" w:line="240" w:lineRule="auto"/>
        <w:rPr>
          <w:i/>
          <w:sz w:val="24"/>
          <w:szCs w:val="24"/>
        </w:rPr>
      </w:pPr>
      <w:r>
        <w:rPr>
          <w:i/>
          <w:sz w:val="24"/>
          <w:szCs w:val="24"/>
        </w:rPr>
        <w:t xml:space="preserve">Ukupni prihodi Grada Rijeke, sukladno Odluci o kriterijima i mjerilima za financiranje materijalnih i financijskih rashoda iz decentraliziranih prihoda te širih javnih potreba osnovnih škola u 2019.g. iznose 1.213.792 kn koji su  namjenski utrošeni. </w:t>
      </w:r>
    </w:p>
    <w:p w:rsidR="0002665F" w:rsidRDefault="0002665F" w:rsidP="0002665F">
      <w:pPr>
        <w:pStyle w:val="doc"/>
        <w:spacing w:after="0" w:line="240" w:lineRule="auto"/>
        <w:rPr>
          <w:i/>
          <w:sz w:val="24"/>
          <w:szCs w:val="24"/>
        </w:rPr>
      </w:pPr>
      <w:r>
        <w:rPr>
          <w:i/>
          <w:sz w:val="24"/>
          <w:szCs w:val="24"/>
        </w:rPr>
        <w:t>Od toga za programe:</w:t>
      </w:r>
    </w:p>
    <w:p w:rsidR="0002665F" w:rsidRDefault="0002665F" w:rsidP="0002665F">
      <w:pPr>
        <w:pStyle w:val="doc"/>
        <w:spacing w:after="0" w:line="240" w:lineRule="auto"/>
        <w:rPr>
          <w:i/>
          <w:sz w:val="24"/>
          <w:szCs w:val="24"/>
        </w:rPr>
      </w:pPr>
      <w:r>
        <w:rPr>
          <w:i/>
          <w:sz w:val="24"/>
          <w:szCs w:val="24"/>
        </w:rPr>
        <w:t>-</w:t>
      </w:r>
      <w:r>
        <w:rPr>
          <w:i/>
          <w:sz w:val="24"/>
          <w:szCs w:val="24"/>
        </w:rPr>
        <w:tab/>
        <w:t xml:space="preserve">311.819 kn za provedbu programa Produženog boravka, </w:t>
      </w:r>
    </w:p>
    <w:p w:rsidR="0002665F" w:rsidRDefault="0002665F" w:rsidP="0002665F">
      <w:pPr>
        <w:pStyle w:val="doc"/>
        <w:spacing w:after="0" w:line="240" w:lineRule="auto"/>
        <w:rPr>
          <w:i/>
          <w:sz w:val="24"/>
          <w:szCs w:val="24"/>
        </w:rPr>
      </w:pPr>
      <w:r>
        <w:rPr>
          <w:i/>
          <w:sz w:val="24"/>
          <w:szCs w:val="24"/>
        </w:rPr>
        <w:t>-</w:t>
      </w:r>
      <w:r>
        <w:rPr>
          <w:i/>
          <w:sz w:val="24"/>
          <w:szCs w:val="24"/>
        </w:rPr>
        <w:tab/>
        <w:t xml:space="preserve">Rano učenje informatike 98.619 kn </w:t>
      </w:r>
    </w:p>
    <w:p w:rsidR="0002665F" w:rsidRDefault="0002665F" w:rsidP="0002665F">
      <w:pPr>
        <w:pStyle w:val="doc"/>
        <w:spacing w:after="0" w:line="240" w:lineRule="auto"/>
        <w:rPr>
          <w:i/>
          <w:sz w:val="24"/>
          <w:szCs w:val="24"/>
        </w:rPr>
      </w:pPr>
      <w:r>
        <w:rPr>
          <w:i/>
          <w:sz w:val="24"/>
          <w:szCs w:val="24"/>
        </w:rPr>
        <w:t>-</w:t>
      </w:r>
      <w:r>
        <w:rPr>
          <w:i/>
          <w:sz w:val="24"/>
          <w:szCs w:val="24"/>
        </w:rPr>
        <w:tab/>
        <w:t>„Moja Rijeka“ 29.400 kn</w:t>
      </w:r>
    </w:p>
    <w:p w:rsidR="0002665F" w:rsidRDefault="0002665F" w:rsidP="0002665F">
      <w:pPr>
        <w:pStyle w:val="doc"/>
        <w:spacing w:after="0" w:line="240" w:lineRule="auto"/>
        <w:rPr>
          <w:i/>
          <w:sz w:val="24"/>
          <w:szCs w:val="24"/>
        </w:rPr>
      </w:pPr>
      <w:r>
        <w:rPr>
          <w:i/>
          <w:sz w:val="24"/>
          <w:szCs w:val="24"/>
        </w:rPr>
        <w:t>-</w:t>
      </w:r>
      <w:r>
        <w:rPr>
          <w:i/>
          <w:sz w:val="24"/>
          <w:szCs w:val="24"/>
        </w:rPr>
        <w:tab/>
        <w:t>Građanski odgoj 15.750 kn</w:t>
      </w:r>
    </w:p>
    <w:p w:rsidR="0002665F" w:rsidRDefault="0002665F" w:rsidP="0002665F">
      <w:pPr>
        <w:pStyle w:val="doc"/>
        <w:spacing w:after="0" w:line="240" w:lineRule="auto"/>
        <w:rPr>
          <w:i/>
          <w:sz w:val="24"/>
          <w:szCs w:val="24"/>
        </w:rPr>
      </w:pPr>
      <w:r>
        <w:rPr>
          <w:i/>
          <w:sz w:val="24"/>
          <w:szCs w:val="24"/>
        </w:rPr>
        <w:t xml:space="preserve">Ove godine Grad Rijeka uplatio je školi 42.943 kn za nabavu nefinancijske imovine. </w:t>
      </w:r>
    </w:p>
    <w:p w:rsidR="0002665F" w:rsidRDefault="0002665F" w:rsidP="0002665F">
      <w:pPr>
        <w:pStyle w:val="doc"/>
        <w:spacing w:after="0" w:line="240" w:lineRule="auto"/>
        <w:rPr>
          <w:i/>
          <w:sz w:val="24"/>
          <w:szCs w:val="24"/>
        </w:rPr>
      </w:pPr>
      <w:r>
        <w:rPr>
          <w:i/>
          <w:sz w:val="24"/>
          <w:szCs w:val="24"/>
        </w:rPr>
        <w:t>Za programsku djelatnost škole - decentralizirane funkcije Grad je prema ispostavljenim zahtjevima doznačio 715.261 kn koje smo namjenski utrošili.</w:t>
      </w:r>
    </w:p>
    <w:p w:rsidR="0002665F" w:rsidRDefault="0002665F" w:rsidP="0002665F">
      <w:pPr>
        <w:pStyle w:val="doc"/>
        <w:spacing w:after="0" w:line="240" w:lineRule="auto"/>
        <w:rPr>
          <w:i/>
          <w:sz w:val="24"/>
          <w:szCs w:val="24"/>
        </w:rPr>
      </w:pPr>
      <w:r>
        <w:rPr>
          <w:i/>
          <w:sz w:val="24"/>
          <w:szCs w:val="24"/>
        </w:rPr>
        <w:tab/>
      </w:r>
    </w:p>
    <w:p w:rsidR="0002665F" w:rsidRDefault="0002665F" w:rsidP="0002665F">
      <w:pPr>
        <w:pStyle w:val="doc"/>
        <w:spacing w:after="0" w:line="240" w:lineRule="auto"/>
        <w:rPr>
          <w:i/>
          <w:sz w:val="24"/>
          <w:szCs w:val="24"/>
        </w:rPr>
      </w:pPr>
      <w:r>
        <w:rPr>
          <w:b/>
          <w:i/>
          <w:sz w:val="24"/>
          <w:szCs w:val="24"/>
        </w:rPr>
        <w:t>Konto 638</w:t>
      </w:r>
      <w:r>
        <w:rPr>
          <w:i/>
          <w:sz w:val="24"/>
          <w:szCs w:val="24"/>
        </w:rPr>
        <w:t xml:space="preserve"> su sredstva 32.596 kn, doznačeno od Agencije za poljoprivredu i ribarstvo za provedbu Programa Školske sheme.</w:t>
      </w:r>
    </w:p>
    <w:p w:rsidR="0002665F" w:rsidRDefault="0002665F" w:rsidP="0002665F">
      <w:pPr>
        <w:pStyle w:val="doc"/>
        <w:spacing w:after="0" w:line="240" w:lineRule="auto"/>
        <w:rPr>
          <w:i/>
          <w:sz w:val="24"/>
          <w:szCs w:val="24"/>
        </w:rPr>
      </w:pPr>
      <w:r>
        <w:rPr>
          <w:b/>
          <w:i/>
          <w:sz w:val="24"/>
          <w:szCs w:val="24"/>
        </w:rPr>
        <w:t>Konto 652</w:t>
      </w:r>
      <w:r>
        <w:rPr>
          <w:i/>
          <w:sz w:val="24"/>
          <w:szCs w:val="24"/>
        </w:rPr>
        <w:t xml:space="preserve"> sačinjavaju prihodi po posebnim propisima, prihodi učenika za školsku prehranu, produženi boravak, subvencija programa Rano učenje informatike, kandidati za polaganje stručnog ispita iz likovne kulture. Ukupno: 883.905 kn</w:t>
      </w:r>
    </w:p>
    <w:p w:rsidR="0002665F" w:rsidRDefault="0002665F" w:rsidP="0002665F">
      <w:pPr>
        <w:pStyle w:val="doc"/>
        <w:spacing w:after="0" w:line="240" w:lineRule="auto"/>
        <w:rPr>
          <w:i/>
          <w:sz w:val="24"/>
          <w:szCs w:val="24"/>
        </w:rPr>
      </w:pPr>
      <w:r>
        <w:rPr>
          <w:b/>
          <w:i/>
          <w:sz w:val="24"/>
          <w:szCs w:val="24"/>
        </w:rPr>
        <w:t>Konto 661</w:t>
      </w:r>
      <w:r>
        <w:rPr>
          <w:i/>
          <w:sz w:val="24"/>
          <w:szCs w:val="24"/>
        </w:rPr>
        <w:t xml:space="preserve"> vlastiti prihodi, sačinjavaju prihodi od najma školske dvorane, stare škole i prostorija, prihodi Dječjeg vrtića Rijeka i Doma zdravlja za plaću ložača. Ukupno: 85.605 kn</w:t>
      </w:r>
    </w:p>
    <w:p w:rsidR="0002665F" w:rsidRDefault="0002665F" w:rsidP="0002665F">
      <w:pPr>
        <w:pStyle w:val="doc"/>
        <w:spacing w:after="0" w:line="240" w:lineRule="auto"/>
        <w:rPr>
          <w:i/>
          <w:sz w:val="24"/>
          <w:szCs w:val="24"/>
        </w:rPr>
      </w:pPr>
      <w:r>
        <w:rPr>
          <w:b/>
          <w:i/>
          <w:sz w:val="24"/>
          <w:szCs w:val="24"/>
        </w:rPr>
        <w:t>Konto 663</w:t>
      </w:r>
      <w:r>
        <w:rPr>
          <w:i/>
          <w:sz w:val="24"/>
          <w:szCs w:val="24"/>
        </w:rPr>
        <w:t xml:space="preserve"> 8.426 kn ostvareni od Turističke zajednice Grada za sufinanciranje na karnevalskoj povorci 800 kn, novčana donacija 4.968 kn </w:t>
      </w:r>
      <w:proofErr w:type="spellStart"/>
      <w:r>
        <w:rPr>
          <w:i/>
          <w:sz w:val="24"/>
          <w:szCs w:val="24"/>
        </w:rPr>
        <w:t>osiguravateljske</w:t>
      </w:r>
      <w:proofErr w:type="spellEnd"/>
      <w:r>
        <w:rPr>
          <w:i/>
          <w:sz w:val="24"/>
          <w:szCs w:val="24"/>
        </w:rPr>
        <w:t xml:space="preserve"> kuće, Hrv. Telekom donirao je 2.500 kn za  robotiku te neprofitna udruga IRIM 158 kn u vidu materijala za robotiku, također i prihod od 200 kn. Školi je JGL donirao staro otpisano računalo čiju vrijednost je procijenila komisija.</w:t>
      </w:r>
    </w:p>
    <w:p w:rsidR="0002665F" w:rsidRDefault="0002665F" w:rsidP="0002665F">
      <w:pPr>
        <w:pStyle w:val="doc"/>
        <w:spacing w:after="0" w:line="240" w:lineRule="auto"/>
        <w:rPr>
          <w:i/>
          <w:sz w:val="24"/>
          <w:szCs w:val="24"/>
        </w:rPr>
      </w:pPr>
      <w:r>
        <w:rPr>
          <w:b/>
          <w:i/>
          <w:sz w:val="24"/>
          <w:szCs w:val="24"/>
        </w:rPr>
        <w:t>Na kontu 683</w:t>
      </w:r>
      <w:r>
        <w:rPr>
          <w:i/>
          <w:sz w:val="24"/>
          <w:szCs w:val="24"/>
        </w:rPr>
        <w:t xml:space="preserve"> su prikazani prihodi od </w:t>
      </w:r>
      <w:proofErr w:type="spellStart"/>
      <w:r>
        <w:rPr>
          <w:i/>
          <w:sz w:val="24"/>
          <w:szCs w:val="24"/>
        </w:rPr>
        <w:t>Metisa</w:t>
      </w:r>
      <w:proofErr w:type="spellEnd"/>
      <w:r>
        <w:rPr>
          <w:i/>
          <w:sz w:val="24"/>
          <w:szCs w:val="24"/>
        </w:rPr>
        <w:t xml:space="preserve"> za prikupljeni stari papir 3.696 kn.</w:t>
      </w:r>
      <w:r>
        <w:rPr>
          <w:i/>
          <w:sz w:val="24"/>
          <w:szCs w:val="24"/>
        </w:rPr>
        <w:tab/>
      </w:r>
    </w:p>
    <w:p w:rsidR="0002665F" w:rsidRDefault="0002665F" w:rsidP="0002665F">
      <w:pPr>
        <w:pStyle w:val="doc"/>
        <w:spacing w:after="0" w:line="240" w:lineRule="auto"/>
        <w:rPr>
          <w:i/>
          <w:sz w:val="24"/>
          <w:szCs w:val="24"/>
        </w:rPr>
      </w:pPr>
    </w:p>
    <w:p w:rsidR="0002665F" w:rsidRDefault="0002665F" w:rsidP="0002665F">
      <w:pPr>
        <w:pStyle w:val="doc"/>
        <w:spacing w:after="0" w:line="240" w:lineRule="auto"/>
        <w:rPr>
          <w:b/>
          <w:sz w:val="24"/>
          <w:szCs w:val="24"/>
        </w:rPr>
      </w:pPr>
    </w:p>
    <w:p w:rsidR="0002665F" w:rsidRDefault="0002665F" w:rsidP="0002665F">
      <w:pPr>
        <w:pStyle w:val="doc"/>
        <w:spacing w:after="0" w:line="240" w:lineRule="auto"/>
        <w:rPr>
          <w:b/>
          <w:sz w:val="24"/>
          <w:szCs w:val="24"/>
        </w:rPr>
      </w:pPr>
    </w:p>
    <w:p w:rsidR="0002665F" w:rsidRDefault="0002665F" w:rsidP="0002665F">
      <w:pPr>
        <w:pStyle w:val="doc"/>
        <w:spacing w:after="0" w:line="240" w:lineRule="auto"/>
        <w:rPr>
          <w:b/>
          <w:sz w:val="24"/>
          <w:szCs w:val="24"/>
        </w:rPr>
      </w:pPr>
    </w:p>
    <w:p w:rsidR="0002665F" w:rsidRDefault="0002665F" w:rsidP="0002665F">
      <w:pPr>
        <w:pStyle w:val="doc"/>
        <w:spacing w:after="0" w:line="240" w:lineRule="auto"/>
        <w:rPr>
          <w:b/>
          <w:sz w:val="24"/>
          <w:szCs w:val="24"/>
        </w:rPr>
      </w:pPr>
      <w:r>
        <w:rPr>
          <w:b/>
          <w:sz w:val="24"/>
          <w:szCs w:val="24"/>
        </w:rPr>
        <w:t>OBRAZLOŽENJE ODSTUPANJA PLANA U ODNOSU NA OSTVARENJE:</w:t>
      </w: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i/>
          <w:sz w:val="24"/>
          <w:szCs w:val="24"/>
        </w:rPr>
      </w:pPr>
      <w:r>
        <w:rPr>
          <w:sz w:val="24"/>
          <w:szCs w:val="24"/>
        </w:rPr>
        <w:tab/>
      </w:r>
      <w:r>
        <w:rPr>
          <w:i/>
          <w:sz w:val="24"/>
          <w:szCs w:val="24"/>
        </w:rPr>
        <w:t>U planu na kontu 661 veći je iznos za 15,68% zbog nepodmirenih računa koje smo ispostavili Riječkom sportskom savezu.</w:t>
      </w:r>
    </w:p>
    <w:p w:rsidR="0002665F" w:rsidRDefault="0002665F" w:rsidP="0002665F">
      <w:pPr>
        <w:pStyle w:val="doc"/>
        <w:spacing w:after="0" w:line="240" w:lineRule="auto"/>
        <w:rPr>
          <w:i/>
          <w:sz w:val="24"/>
          <w:szCs w:val="24"/>
        </w:rPr>
      </w:pPr>
      <w:r>
        <w:rPr>
          <w:i/>
          <w:sz w:val="24"/>
          <w:szCs w:val="24"/>
        </w:rPr>
        <w:t>Konto 663 u ostvarenju je za 49,55% veći u odnosu na plan zbog toga što smo sve donacije ostvarili nakon što je izrađen Rebalans te ih nismo uvrstili u plan.</w:t>
      </w:r>
    </w:p>
    <w:p w:rsidR="0002665F" w:rsidRDefault="0002665F" w:rsidP="0002665F">
      <w:pPr>
        <w:pStyle w:val="doc"/>
        <w:spacing w:after="0" w:line="240" w:lineRule="auto"/>
        <w:rPr>
          <w:i/>
          <w:sz w:val="24"/>
          <w:szCs w:val="24"/>
        </w:rPr>
      </w:pPr>
      <w:r>
        <w:rPr>
          <w:i/>
          <w:sz w:val="24"/>
          <w:szCs w:val="24"/>
        </w:rPr>
        <w:tab/>
        <w:t xml:space="preserve">Najznačajnije odstupanje odnosi se na ostvarenje u 2019.u odnosu na 2018.g. i to na kontu prihoda 636. U 2019.g. MZO je uplatilo novčana sredstva za nabavu i kupnju školskih udžbenika kao i sredstva za provedbu </w:t>
      </w:r>
      <w:proofErr w:type="spellStart"/>
      <w:r>
        <w:rPr>
          <w:i/>
          <w:sz w:val="24"/>
          <w:szCs w:val="24"/>
        </w:rPr>
        <w:t>Kurikularne</w:t>
      </w:r>
      <w:proofErr w:type="spellEnd"/>
      <w:r>
        <w:rPr>
          <w:i/>
          <w:sz w:val="24"/>
          <w:szCs w:val="24"/>
        </w:rPr>
        <w:t xml:space="preserve"> reforme koje u 2018.g. nije bilo. Ostvarenje u 2019.g. u odnosu na ostvarenje u 2018.g. na kontu 661-prihodi od prodaje imovine i pruženih usluga manji su za 15,35% budući smo u 2018.g. imali većih prihoda za njam školske dvorane, bilo je puno manjih organizacija i privatnih osoba koje su redovno plaćale za razliku od Riječkog sportskog saveza koji u 2019.g. zauzima najveći dio vremena.</w:t>
      </w: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b/>
          <w:i/>
          <w:sz w:val="24"/>
          <w:szCs w:val="24"/>
        </w:rPr>
      </w:pPr>
    </w:p>
    <w:p w:rsidR="0002665F" w:rsidRDefault="0002665F" w:rsidP="0002665F">
      <w:pPr>
        <w:pStyle w:val="doc"/>
        <w:spacing w:after="0" w:line="240" w:lineRule="auto"/>
        <w:rPr>
          <w:b/>
          <w:i/>
          <w:sz w:val="24"/>
          <w:szCs w:val="24"/>
        </w:rPr>
      </w:pPr>
      <w:r>
        <w:rPr>
          <w:b/>
          <w:i/>
          <w:sz w:val="24"/>
          <w:szCs w:val="24"/>
        </w:rPr>
        <w:t>Rashodi poslovanja u</w:t>
      </w:r>
      <w:r w:rsidR="00101FFF">
        <w:rPr>
          <w:b/>
          <w:i/>
          <w:sz w:val="24"/>
          <w:szCs w:val="24"/>
        </w:rPr>
        <w:t xml:space="preserve"> kunama, plan tekuće godine te ostvarenje 2018.g.</w:t>
      </w:r>
    </w:p>
    <w:p w:rsidR="0002665F" w:rsidRDefault="0002665F" w:rsidP="0002665F">
      <w:pPr>
        <w:pStyle w:val="doc"/>
        <w:spacing w:after="0" w:line="240" w:lineRule="auto"/>
        <w:rPr>
          <w:sz w:val="24"/>
          <w:szCs w:val="24"/>
        </w:rPr>
      </w:pPr>
    </w:p>
    <w:tbl>
      <w:tblPr>
        <w:tblW w:w="98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3"/>
        <w:gridCol w:w="1597"/>
        <w:gridCol w:w="1739"/>
        <w:gridCol w:w="1537"/>
        <w:gridCol w:w="961"/>
        <w:gridCol w:w="1107"/>
      </w:tblGrid>
      <w:tr w:rsidR="0002665F" w:rsidTr="0002665F">
        <w:trPr>
          <w:trHeight w:val="343"/>
        </w:trPr>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Opis</w:t>
            </w:r>
          </w:p>
        </w:tc>
        <w:tc>
          <w:tcPr>
            <w:tcW w:w="159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tabs>
                <w:tab w:val="center" w:pos="890"/>
              </w:tabs>
              <w:spacing w:after="0" w:line="240" w:lineRule="auto"/>
              <w:jc w:val="center"/>
              <w:rPr>
                <w:b/>
              </w:rPr>
            </w:pPr>
            <w:r>
              <w:rPr>
                <w:b/>
              </w:rPr>
              <w:t>Ostvarenje</w:t>
            </w:r>
          </w:p>
          <w:p w:rsidR="0002665F" w:rsidRDefault="0002665F">
            <w:pPr>
              <w:pStyle w:val="doc"/>
              <w:tabs>
                <w:tab w:val="center" w:pos="890"/>
              </w:tabs>
              <w:spacing w:after="0" w:line="240" w:lineRule="auto"/>
              <w:jc w:val="center"/>
              <w:rPr>
                <w:b/>
              </w:rPr>
            </w:pPr>
            <w:r>
              <w:rPr>
                <w:b/>
              </w:rPr>
              <w:t>2018.</w:t>
            </w:r>
          </w:p>
        </w:tc>
        <w:tc>
          <w:tcPr>
            <w:tcW w:w="1739"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center"/>
              <w:rPr>
                <w:b/>
              </w:rPr>
            </w:pPr>
            <w:r>
              <w:rPr>
                <w:b/>
              </w:rPr>
              <w:t>Godišnji plan</w:t>
            </w:r>
          </w:p>
          <w:p w:rsidR="0002665F" w:rsidRDefault="0002665F">
            <w:pPr>
              <w:pStyle w:val="doc"/>
              <w:spacing w:after="0" w:line="240" w:lineRule="auto"/>
              <w:jc w:val="center"/>
              <w:rPr>
                <w:b/>
              </w:rPr>
            </w:pPr>
            <w:r>
              <w:rPr>
                <w:b/>
              </w:rPr>
              <w:t>2019.</w:t>
            </w:r>
          </w:p>
          <w:p w:rsidR="0002665F" w:rsidRDefault="0002665F">
            <w:pPr>
              <w:pStyle w:val="doc"/>
              <w:spacing w:after="0" w:line="240" w:lineRule="auto"/>
              <w:jc w:val="center"/>
              <w:rPr>
                <w:b/>
              </w:rPr>
            </w:pPr>
          </w:p>
        </w:tc>
        <w:tc>
          <w:tcPr>
            <w:tcW w:w="153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Ostvarenje</w:t>
            </w:r>
          </w:p>
          <w:p w:rsidR="0002665F" w:rsidRDefault="0002665F">
            <w:pPr>
              <w:pStyle w:val="doc"/>
              <w:spacing w:after="0" w:line="240" w:lineRule="auto"/>
              <w:jc w:val="center"/>
              <w:rPr>
                <w:b/>
              </w:rPr>
            </w:pPr>
            <w:r>
              <w:rPr>
                <w:b/>
              </w:rPr>
              <w:t>2019.</w:t>
            </w:r>
          </w:p>
        </w:tc>
        <w:tc>
          <w:tcPr>
            <w:tcW w:w="961"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tabs>
                <w:tab w:val="center" w:pos="740"/>
              </w:tabs>
              <w:spacing w:after="0" w:line="240" w:lineRule="auto"/>
              <w:jc w:val="center"/>
              <w:rPr>
                <w:b/>
              </w:rPr>
            </w:pPr>
            <w:r>
              <w:rPr>
                <w:b/>
              </w:rPr>
              <w:t>Indeks</w:t>
            </w:r>
          </w:p>
          <w:p w:rsidR="0002665F" w:rsidRDefault="0002665F">
            <w:pPr>
              <w:pStyle w:val="doc"/>
              <w:tabs>
                <w:tab w:val="center" w:pos="740"/>
              </w:tabs>
              <w:spacing w:after="0" w:line="240" w:lineRule="auto"/>
              <w:jc w:val="center"/>
              <w:rPr>
                <w:b/>
              </w:rPr>
            </w:pPr>
            <w:r>
              <w:rPr>
                <w:b/>
              </w:rPr>
              <w:t>(4/3)</w:t>
            </w:r>
          </w:p>
          <w:p w:rsidR="0002665F" w:rsidRDefault="0002665F">
            <w:pPr>
              <w:pStyle w:val="doc"/>
              <w:tabs>
                <w:tab w:val="center" w:pos="740"/>
              </w:tabs>
              <w:spacing w:after="0" w:line="240" w:lineRule="auto"/>
              <w:jc w:val="center"/>
              <w:rPr>
                <w:b/>
              </w:rPr>
            </w:pPr>
          </w:p>
        </w:tc>
        <w:tc>
          <w:tcPr>
            <w:tcW w:w="110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tabs>
                <w:tab w:val="center" w:pos="740"/>
              </w:tabs>
              <w:spacing w:after="0" w:line="240" w:lineRule="auto"/>
              <w:jc w:val="center"/>
              <w:rPr>
                <w:b/>
              </w:rPr>
            </w:pPr>
            <w:r>
              <w:rPr>
                <w:b/>
              </w:rPr>
              <w:t>Indeks</w:t>
            </w:r>
          </w:p>
          <w:p w:rsidR="0002665F" w:rsidRDefault="0002665F">
            <w:pPr>
              <w:pStyle w:val="doc"/>
              <w:tabs>
                <w:tab w:val="center" w:pos="740"/>
              </w:tabs>
              <w:spacing w:after="0" w:line="240" w:lineRule="auto"/>
              <w:jc w:val="center"/>
              <w:rPr>
                <w:b/>
              </w:rPr>
            </w:pPr>
            <w:r>
              <w:rPr>
                <w:b/>
              </w:rPr>
              <w:t>(4/2)</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2</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3</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4</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5</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6</w:t>
            </w:r>
          </w:p>
        </w:tc>
      </w:tr>
      <w:tr w:rsidR="0002665F" w:rsidTr="0002665F">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left"/>
              <w:rPr>
                <w:b/>
              </w:rPr>
            </w:pPr>
            <w:r>
              <w:rPr>
                <w:b/>
              </w:rPr>
              <w:t xml:space="preserve">Rashodi iz poslovanja ukupno </w:t>
            </w:r>
          </w:p>
          <w:p w:rsidR="0002665F" w:rsidRDefault="0002665F">
            <w:pPr>
              <w:pStyle w:val="doc"/>
              <w:spacing w:after="0" w:line="240" w:lineRule="auto"/>
              <w:rPr>
                <w:b/>
              </w:rPr>
            </w:pPr>
            <w:r>
              <w:rPr>
                <w:b/>
              </w:rPr>
              <w:t>(u nastavku po prirodi) 3</w:t>
            </w:r>
          </w:p>
        </w:tc>
        <w:tc>
          <w:tcPr>
            <w:tcW w:w="159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10.216.753</w:t>
            </w:r>
          </w:p>
        </w:tc>
        <w:tc>
          <w:tcPr>
            <w:tcW w:w="1739"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11.440.043</w:t>
            </w:r>
          </w:p>
        </w:tc>
        <w:tc>
          <w:tcPr>
            <w:tcW w:w="153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10.698.368</w:t>
            </w:r>
          </w:p>
        </w:tc>
        <w:tc>
          <w:tcPr>
            <w:tcW w:w="961"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93,52</w:t>
            </w:r>
          </w:p>
        </w:tc>
        <w:tc>
          <w:tcPr>
            <w:tcW w:w="110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104,71</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rPr>
                <w:b/>
              </w:rPr>
            </w:pPr>
            <w:r>
              <w:rPr>
                <w:b/>
              </w:rPr>
              <w:t>Rashodi za zaposlene 31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8.459.651</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9.600.164</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8.934.670</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b/>
              </w:rPr>
            </w:pPr>
            <w:r>
              <w:rPr>
                <w:b/>
              </w:rPr>
              <w:t>93,07</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b/>
              </w:rPr>
            </w:pPr>
            <w:r>
              <w:rPr>
                <w:b/>
              </w:rPr>
              <w:t>105,61</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Plaće (bruto) 311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7.009.913</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8.072.868</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7.398.747</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91,65</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105,55</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Ostali rashodi zaposlenih 312</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242.543</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213.450</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305.241</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143,00</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125,85</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Doprinosi na plaće 313</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1.207.195</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1.313.846</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1.230.682</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93,67</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101,95</w:t>
            </w:r>
          </w:p>
        </w:tc>
      </w:tr>
      <w:tr w:rsidR="0002665F" w:rsidTr="0002665F">
        <w:tc>
          <w:tcPr>
            <w:tcW w:w="2953"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pP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73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3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rPr>
                <w:b/>
              </w:rPr>
            </w:pPr>
            <w:r>
              <w:rPr>
                <w:b/>
              </w:rPr>
              <w:t>Materijalni rashodi 32</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1.755.293</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1.838.679</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1.762.544</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b/>
              </w:rPr>
            </w:pPr>
            <w:r>
              <w:rPr>
                <w:b/>
              </w:rPr>
              <w:t>95,86</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b/>
              </w:rPr>
            </w:pPr>
            <w:r>
              <w:rPr>
                <w:b/>
              </w:rPr>
              <w:t>100,41</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Naknade troškova</w:t>
            </w:r>
          </w:p>
          <w:p w:rsidR="0002665F" w:rsidRDefault="0002665F">
            <w:pPr>
              <w:pStyle w:val="doc"/>
              <w:spacing w:after="0" w:line="240" w:lineRule="auto"/>
            </w:pPr>
            <w:r>
              <w:t>Zaposlenima 321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240.129</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224.035</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241.477</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107,78</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100,56</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Rashodi za materijal i energiju 322</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1.143.233</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1.234.218</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1.180.791</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95,67</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103,28</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Rashodi za usluge 323</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279.982</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272.972</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248.427</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91,00</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88,73</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Naknade troškova osobama izvan radnog odnosa 324</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37.939</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23.544</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23.479</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99,72</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61,88</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Ostali nespomenuti rashodi poslovanja 329</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54.010</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83.910</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68.370</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81,48</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126,59</w:t>
            </w:r>
          </w:p>
        </w:tc>
      </w:tr>
      <w:tr w:rsidR="0002665F" w:rsidTr="0002665F">
        <w:tc>
          <w:tcPr>
            <w:tcW w:w="2953"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pP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73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3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rPr>
                <w:b/>
              </w:rPr>
            </w:pPr>
            <w:r>
              <w:rPr>
                <w:b/>
              </w:rPr>
              <w:t>Financijski rashodi  34</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1.809</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1.200</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rPr>
                <w:b/>
              </w:rPr>
            </w:pPr>
            <w:r>
              <w:rPr>
                <w:b/>
              </w:rPr>
              <w:t>1.154</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b/>
              </w:rPr>
            </w:pPr>
            <w:r>
              <w:rPr>
                <w:b/>
              </w:rPr>
              <w:t>96,17</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b/>
              </w:rPr>
            </w:pPr>
            <w:r>
              <w:rPr>
                <w:b/>
              </w:rPr>
              <w:t>63,79</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Kamate na primljene kredite</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73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3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Ostali financijski rashodi 343</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1.809</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1.200</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1.154</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96,17</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63,79</w:t>
            </w:r>
          </w:p>
        </w:tc>
      </w:tr>
      <w:tr w:rsidR="0002665F" w:rsidTr="0002665F">
        <w:tc>
          <w:tcPr>
            <w:tcW w:w="2953"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pP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73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3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bl>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sz w:val="24"/>
          <w:szCs w:val="24"/>
        </w:rPr>
      </w:pPr>
    </w:p>
    <w:p w:rsidR="00101FFF" w:rsidRDefault="00101FFF" w:rsidP="0002665F">
      <w:pPr>
        <w:pStyle w:val="doc"/>
        <w:spacing w:after="0" w:line="240" w:lineRule="auto"/>
        <w:rPr>
          <w:sz w:val="24"/>
          <w:szCs w:val="24"/>
        </w:rPr>
      </w:pPr>
    </w:p>
    <w:p w:rsidR="00101FFF" w:rsidRDefault="00101FFF" w:rsidP="0002665F">
      <w:pPr>
        <w:pStyle w:val="doc"/>
        <w:spacing w:after="0" w:line="240" w:lineRule="auto"/>
        <w:rPr>
          <w:sz w:val="24"/>
          <w:szCs w:val="24"/>
        </w:rPr>
      </w:pPr>
    </w:p>
    <w:p w:rsidR="0002665F" w:rsidRDefault="0002665F" w:rsidP="0002665F">
      <w:pPr>
        <w:pStyle w:val="doc"/>
        <w:spacing w:after="0" w:line="240" w:lineRule="auto"/>
        <w:rPr>
          <w:sz w:val="24"/>
          <w:szCs w:val="24"/>
        </w:rPr>
      </w:pPr>
      <w:r>
        <w:rPr>
          <w:sz w:val="24"/>
          <w:szCs w:val="24"/>
        </w:rPr>
        <w:lastRenderedPageBreak/>
        <w:t xml:space="preserve">Bilješka: </w:t>
      </w: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i/>
          <w:sz w:val="24"/>
          <w:szCs w:val="24"/>
        </w:rPr>
      </w:pPr>
      <w:r>
        <w:rPr>
          <w:i/>
          <w:sz w:val="24"/>
          <w:szCs w:val="24"/>
        </w:rPr>
        <w:t xml:space="preserve">Ukupan indeks ostvarenih rashoda u odnosu na plan za 2019.g. ne odstupa u značajnom postotku. </w:t>
      </w:r>
    </w:p>
    <w:p w:rsidR="0002665F" w:rsidRDefault="0002665F" w:rsidP="0002665F">
      <w:pPr>
        <w:pStyle w:val="doc"/>
        <w:spacing w:after="0" w:line="240" w:lineRule="auto"/>
        <w:rPr>
          <w:i/>
          <w:sz w:val="24"/>
          <w:szCs w:val="24"/>
        </w:rPr>
      </w:pPr>
    </w:p>
    <w:p w:rsidR="0002665F" w:rsidRDefault="0002665F" w:rsidP="0002665F">
      <w:pPr>
        <w:pStyle w:val="doc"/>
        <w:spacing w:after="0" w:line="240" w:lineRule="auto"/>
        <w:rPr>
          <w:i/>
          <w:sz w:val="24"/>
          <w:szCs w:val="24"/>
        </w:rPr>
      </w:pPr>
      <w:r>
        <w:rPr>
          <w:i/>
          <w:sz w:val="24"/>
          <w:szCs w:val="24"/>
        </w:rPr>
        <w:t>Ostali rashodi za zaposlene veći su za 25,85% u odnosu na prethodnu godinu zbog više obračunatih i isplaćenih jubilarnih nagrada te pomoći zbog bolovanja dužeg od 90 dana. Regres i Božićnica su isplaćene jednako kao i prošle godine, ali u ovom izvještajnom razdoblju je bilo i otpremnina što u 2018.g. nije.</w:t>
      </w:r>
    </w:p>
    <w:p w:rsidR="0002665F" w:rsidRDefault="0002665F" w:rsidP="0002665F">
      <w:pPr>
        <w:pStyle w:val="doc"/>
        <w:spacing w:after="0" w:line="240" w:lineRule="auto"/>
        <w:rPr>
          <w:i/>
          <w:sz w:val="24"/>
          <w:szCs w:val="24"/>
        </w:rPr>
      </w:pPr>
      <w:r>
        <w:rPr>
          <w:i/>
          <w:sz w:val="24"/>
          <w:szCs w:val="24"/>
        </w:rPr>
        <w:t xml:space="preserve">Usluge tekućeg i investicijskog održavanja, Usluge telefona, pošte i prijevoza, Usluge tekućeg i investicijskog održavanja u 2019.g. su manje zbog manje potrebe za popravcima postrojenja i opreme, telefonski računi su manji zbog realizacije i potpisivanja novih </w:t>
      </w:r>
      <w:proofErr w:type="spellStart"/>
      <w:r>
        <w:rPr>
          <w:i/>
          <w:sz w:val="24"/>
          <w:szCs w:val="24"/>
        </w:rPr>
        <w:t>teleoperaterskih</w:t>
      </w:r>
      <w:proofErr w:type="spellEnd"/>
      <w:r>
        <w:rPr>
          <w:i/>
          <w:sz w:val="24"/>
          <w:szCs w:val="24"/>
        </w:rPr>
        <w:t xml:space="preserve"> ugovora i povoljnijih cjenovnih tarifa.</w:t>
      </w:r>
    </w:p>
    <w:p w:rsidR="0002665F" w:rsidRDefault="0002665F" w:rsidP="0002665F">
      <w:pPr>
        <w:pStyle w:val="doc"/>
        <w:spacing w:after="0" w:line="240" w:lineRule="auto"/>
        <w:rPr>
          <w:i/>
          <w:sz w:val="24"/>
          <w:szCs w:val="24"/>
        </w:rPr>
      </w:pPr>
      <w:r>
        <w:rPr>
          <w:i/>
          <w:sz w:val="24"/>
          <w:szCs w:val="24"/>
        </w:rPr>
        <w:t>Zdravstvene su usluge  također manje zbog manjeg broja pregleda zaposlenih.</w:t>
      </w:r>
    </w:p>
    <w:p w:rsidR="0002665F" w:rsidRDefault="0002665F" w:rsidP="0002665F">
      <w:pPr>
        <w:pStyle w:val="doc"/>
        <w:spacing w:after="0" w:line="240" w:lineRule="auto"/>
        <w:rPr>
          <w:i/>
          <w:sz w:val="24"/>
          <w:szCs w:val="24"/>
        </w:rPr>
      </w:pPr>
      <w:r>
        <w:rPr>
          <w:i/>
          <w:sz w:val="24"/>
          <w:szCs w:val="24"/>
        </w:rPr>
        <w:t>Ostale usluge manje su u odnosu na prethodnu godinu budući smo u 2018.g.  snimali, izrađivali aranžman i plasman CD-a koji sadrži pjesme učenika škole, a u 2019.g.tih troškova nismo imali.</w:t>
      </w:r>
    </w:p>
    <w:p w:rsidR="0002665F" w:rsidRDefault="0002665F" w:rsidP="0002665F">
      <w:pPr>
        <w:pStyle w:val="doc"/>
        <w:spacing w:after="0" w:line="240" w:lineRule="auto"/>
        <w:rPr>
          <w:i/>
          <w:sz w:val="24"/>
          <w:szCs w:val="24"/>
        </w:rPr>
      </w:pPr>
      <w:r>
        <w:rPr>
          <w:i/>
          <w:sz w:val="24"/>
          <w:szCs w:val="24"/>
        </w:rPr>
        <w:t>Naknade troškova osobama izvan radnog odnosa manje su za 38,1% jer smo prethodne godine imali više zaposlenih pripravnika nego u 2019.g., a nove nismo primili.</w:t>
      </w:r>
    </w:p>
    <w:p w:rsidR="0002665F" w:rsidRDefault="0002665F" w:rsidP="0002665F">
      <w:pPr>
        <w:pStyle w:val="doc"/>
        <w:spacing w:after="0" w:line="240" w:lineRule="auto"/>
        <w:rPr>
          <w:i/>
          <w:sz w:val="24"/>
          <w:szCs w:val="24"/>
        </w:rPr>
      </w:pPr>
      <w:r>
        <w:rPr>
          <w:i/>
          <w:sz w:val="24"/>
          <w:szCs w:val="24"/>
        </w:rPr>
        <w:t xml:space="preserve">Ostali nespomenuti rashodi poslovanja veći su u odnosu na 2018.g.g. za 26,59% iz razloga što smo imali troškova odvjetničkih usluga, plaćanje pristojbi za predmet ovrha </w:t>
      </w:r>
      <w:proofErr w:type="spellStart"/>
      <w:r>
        <w:rPr>
          <w:i/>
          <w:sz w:val="24"/>
          <w:szCs w:val="24"/>
        </w:rPr>
        <w:t>Šegetin</w:t>
      </w:r>
      <w:proofErr w:type="spellEnd"/>
      <w:r>
        <w:rPr>
          <w:i/>
          <w:sz w:val="24"/>
          <w:szCs w:val="24"/>
        </w:rPr>
        <w:t xml:space="preserve">, veće reprezentacije budući je škola bila domaćin za provedbu </w:t>
      </w:r>
      <w:proofErr w:type="spellStart"/>
      <w:r>
        <w:rPr>
          <w:i/>
          <w:sz w:val="24"/>
          <w:szCs w:val="24"/>
        </w:rPr>
        <w:t>Kurikularne</w:t>
      </w:r>
      <w:proofErr w:type="spellEnd"/>
      <w:r>
        <w:rPr>
          <w:i/>
          <w:sz w:val="24"/>
          <w:szCs w:val="24"/>
        </w:rPr>
        <w:t xml:space="preserve"> reforme. U 2019.g. su se provjeravale vjerodostojnosti diploma, a u 2018.g. nisu.</w:t>
      </w:r>
    </w:p>
    <w:p w:rsidR="0002665F" w:rsidRDefault="0002665F" w:rsidP="0002665F">
      <w:pPr>
        <w:pStyle w:val="doc"/>
        <w:spacing w:after="0" w:line="240" w:lineRule="auto"/>
        <w:rPr>
          <w:i/>
          <w:sz w:val="24"/>
          <w:szCs w:val="24"/>
        </w:rPr>
      </w:pPr>
      <w:r>
        <w:rPr>
          <w:i/>
          <w:sz w:val="24"/>
          <w:szCs w:val="24"/>
        </w:rPr>
        <w:t>Ostali nespomenuti rashodi poslovanja manji su za 18,52% u odnosu na plan budući nismo ostvarili planirani prihod za prijevoz djece na dodatne defektološke tretmane i to za razdoblje rujan-prosinca 2019.g.</w:t>
      </w:r>
    </w:p>
    <w:p w:rsidR="0002665F" w:rsidRDefault="0002665F" w:rsidP="0002665F">
      <w:pPr>
        <w:pStyle w:val="doc"/>
        <w:spacing w:after="0" w:line="240" w:lineRule="auto"/>
        <w:rPr>
          <w:i/>
          <w:sz w:val="24"/>
          <w:szCs w:val="24"/>
        </w:rPr>
      </w:pP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b/>
          <w:i/>
          <w:sz w:val="24"/>
          <w:szCs w:val="24"/>
        </w:rPr>
      </w:pPr>
      <w:r>
        <w:rPr>
          <w:b/>
          <w:i/>
          <w:sz w:val="24"/>
          <w:szCs w:val="24"/>
        </w:rPr>
        <w:t>Prihodi od</w:t>
      </w:r>
      <w:r w:rsidR="00101FFF">
        <w:rPr>
          <w:b/>
          <w:i/>
          <w:sz w:val="24"/>
          <w:szCs w:val="24"/>
        </w:rPr>
        <w:t xml:space="preserve"> nefinancijske imovine u kunama, plan tekuće godine te ostvarenje 2018.g.</w:t>
      </w:r>
    </w:p>
    <w:p w:rsidR="0002665F" w:rsidRDefault="0002665F" w:rsidP="0002665F">
      <w:pPr>
        <w:pStyle w:val="doc"/>
        <w:spacing w:after="0" w:line="240" w:lineRule="auto"/>
        <w:ind w:left="720"/>
        <w:rPr>
          <w:sz w:val="24"/>
          <w:szCs w:val="24"/>
        </w:rPr>
      </w:pPr>
    </w:p>
    <w:tbl>
      <w:tblPr>
        <w:tblW w:w="9894"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53"/>
        <w:gridCol w:w="1597"/>
        <w:gridCol w:w="1687"/>
        <w:gridCol w:w="1589"/>
        <w:gridCol w:w="961"/>
        <w:gridCol w:w="1107"/>
      </w:tblGrid>
      <w:tr w:rsidR="0002665F" w:rsidTr="0002665F">
        <w:trPr>
          <w:trHeight w:val="343"/>
        </w:trPr>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Opis</w:t>
            </w:r>
          </w:p>
        </w:tc>
        <w:tc>
          <w:tcPr>
            <w:tcW w:w="159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tabs>
                <w:tab w:val="center" w:pos="890"/>
              </w:tabs>
              <w:spacing w:after="0" w:line="240" w:lineRule="auto"/>
              <w:jc w:val="center"/>
              <w:rPr>
                <w:b/>
              </w:rPr>
            </w:pPr>
            <w:r>
              <w:rPr>
                <w:b/>
              </w:rPr>
              <w:t>Ostvarenje</w:t>
            </w:r>
          </w:p>
          <w:p w:rsidR="0002665F" w:rsidRDefault="0002665F">
            <w:pPr>
              <w:pStyle w:val="doc"/>
              <w:tabs>
                <w:tab w:val="center" w:pos="890"/>
              </w:tabs>
              <w:spacing w:after="0" w:line="240" w:lineRule="auto"/>
              <w:jc w:val="center"/>
              <w:rPr>
                <w:b/>
              </w:rPr>
            </w:pPr>
            <w:r>
              <w:rPr>
                <w:b/>
              </w:rPr>
              <w:t>2018.</w:t>
            </w:r>
          </w:p>
        </w:tc>
        <w:tc>
          <w:tcPr>
            <w:tcW w:w="168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center"/>
              <w:rPr>
                <w:b/>
              </w:rPr>
            </w:pPr>
            <w:r>
              <w:rPr>
                <w:b/>
              </w:rPr>
              <w:t>Godišnji plan</w:t>
            </w:r>
          </w:p>
          <w:p w:rsidR="0002665F" w:rsidRDefault="0002665F">
            <w:pPr>
              <w:pStyle w:val="doc"/>
              <w:spacing w:after="0" w:line="240" w:lineRule="auto"/>
              <w:jc w:val="center"/>
              <w:rPr>
                <w:b/>
              </w:rPr>
            </w:pPr>
            <w:r>
              <w:rPr>
                <w:b/>
              </w:rPr>
              <w:t>2019.</w:t>
            </w:r>
          </w:p>
          <w:p w:rsidR="0002665F" w:rsidRDefault="0002665F">
            <w:pPr>
              <w:pStyle w:val="doc"/>
              <w:spacing w:after="0" w:line="240" w:lineRule="auto"/>
              <w:jc w:val="center"/>
              <w:rPr>
                <w:b/>
              </w:rPr>
            </w:pPr>
          </w:p>
        </w:tc>
        <w:tc>
          <w:tcPr>
            <w:tcW w:w="1589"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Ostvarenje</w:t>
            </w:r>
          </w:p>
          <w:p w:rsidR="0002665F" w:rsidRDefault="0002665F">
            <w:pPr>
              <w:pStyle w:val="doc"/>
              <w:spacing w:after="0" w:line="240" w:lineRule="auto"/>
              <w:jc w:val="center"/>
              <w:rPr>
                <w:b/>
              </w:rPr>
            </w:pPr>
            <w:r>
              <w:rPr>
                <w:b/>
              </w:rPr>
              <w:t>2019.</w:t>
            </w:r>
          </w:p>
        </w:tc>
        <w:tc>
          <w:tcPr>
            <w:tcW w:w="961"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tabs>
                <w:tab w:val="center" w:pos="740"/>
              </w:tabs>
              <w:spacing w:after="0" w:line="240" w:lineRule="auto"/>
              <w:jc w:val="center"/>
              <w:rPr>
                <w:b/>
              </w:rPr>
            </w:pPr>
            <w:r>
              <w:rPr>
                <w:b/>
              </w:rPr>
              <w:t>Indeks</w:t>
            </w:r>
          </w:p>
          <w:p w:rsidR="0002665F" w:rsidRDefault="0002665F">
            <w:pPr>
              <w:pStyle w:val="doc"/>
              <w:tabs>
                <w:tab w:val="center" w:pos="740"/>
              </w:tabs>
              <w:spacing w:after="0" w:line="240" w:lineRule="auto"/>
              <w:jc w:val="center"/>
              <w:rPr>
                <w:b/>
              </w:rPr>
            </w:pPr>
            <w:r>
              <w:rPr>
                <w:b/>
              </w:rPr>
              <w:t>(4/3)</w:t>
            </w:r>
          </w:p>
          <w:p w:rsidR="0002665F" w:rsidRDefault="0002665F">
            <w:pPr>
              <w:pStyle w:val="doc"/>
              <w:tabs>
                <w:tab w:val="center" w:pos="740"/>
              </w:tabs>
              <w:spacing w:after="0" w:line="240" w:lineRule="auto"/>
              <w:jc w:val="center"/>
              <w:rPr>
                <w:b/>
              </w:rPr>
            </w:pPr>
          </w:p>
        </w:tc>
        <w:tc>
          <w:tcPr>
            <w:tcW w:w="110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tabs>
                <w:tab w:val="center" w:pos="740"/>
              </w:tabs>
              <w:spacing w:after="0" w:line="240" w:lineRule="auto"/>
              <w:jc w:val="center"/>
              <w:rPr>
                <w:b/>
              </w:rPr>
            </w:pPr>
            <w:r>
              <w:rPr>
                <w:b/>
              </w:rPr>
              <w:t>Indeks</w:t>
            </w:r>
          </w:p>
          <w:p w:rsidR="0002665F" w:rsidRDefault="0002665F">
            <w:pPr>
              <w:pStyle w:val="doc"/>
              <w:tabs>
                <w:tab w:val="center" w:pos="740"/>
              </w:tabs>
              <w:spacing w:after="0" w:line="240" w:lineRule="auto"/>
              <w:jc w:val="center"/>
              <w:rPr>
                <w:b/>
              </w:rPr>
            </w:pPr>
            <w:r>
              <w:rPr>
                <w:b/>
              </w:rPr>
              <w:t>(4/2)</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2</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3</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4</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5</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6</w:t>
            </w:r>
          </w:p>
        </w:tc>
      </w:tr>
      <w:tr w:rsidR="0002665F" w:rsidTr="0002665F">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left"/>
              <w:rPr>
                <w:b/>
              </w:rPr>
            </w:pPr>
            <w:r>
              <w:rPr>
                <w:b/>
              </w:rPr>
              <w:t>Prihodi od prodaje nefinancijske imovine ukupno 7</w:t>
            </w:r>
          </w:p>
        </w:tc>
        <w:tc>
          <w:tcPr>
            <w:tcW w:w="159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right"/>
              <w:rPr>
                <w:b/>
              </w:rPr>
            </w:pPr>
          </w:p>
        </w:tc>
        <w:tc>
          <w:tcPr>
            <w:tcW w:w="168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right"/>
              <w:rPr>
                <w:b/>
              </w:rPr>
            </w:pPr>
          </w:p>
        </w:tc>
        <w:tc>
          <w:tcPr>
            <w:tcW w:w="1589"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right"/>
              <w:rPr>
                <w:b/>
              </w:rPr>
            </w:pPr>
          </w:p>
        </w:tc>
        <w:tc>
          <w:tcPr>
            <w:tcW w:w="961"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center"/>
              <w:rPr>
                <w:b/>
              </w:rPr>
            </w:pPr>
          </w:p>
        </w:tc>
        <w:tc>
          <w:tcPr>
            <w:tcW w:w="1107"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center"/>
              <w:rPr>
                <w:b/>
              </w:rP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pPr>
            <w:r>
              <w:t xml:space="preserve">Prihodi od prodaje materijalne imovine </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68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8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pPr>
            <w:r>
              <w:t xml:space="preserve">Prihodi od prodaje </w:t>
            </w:r>
            <w:proofErr w:type="spellStart"/>
            <w:r>
              <w:t>građ.objekata</w:t>
            </w:r>
            <w:proofErr w:type="spellEnd"/>
            <w:r>
              <w:t xml:space="preserve"> 72</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rPr>
                <w:rFonts w:ascii="Arial" w:hAnsi="Arial" w:cs="Arial"/>
                <w:sz w:val="20"/>
                <w:szCs w:val="20"/>
              </w:rPr>
            </w:pPr>
            <w:r>
              <w:rPr>
                <w:rFonts w:ascii="Arial" w:hAnsi="Arial" w:cs="Arial"/>
                <w:sz w:val="20"/>
                <w:szCs w:val="20"/>
              </w:rPr>
              <w:t>8.465</w:t>
            </w:r>
          </w:p>
        </w:tc>
        <w:tc>
          <w:tcPr>
            <w:tcW w:w="1687" w:type="dxa"/>
            <w:tcBorders>
              <w:top w:val="dotted" w:sz="4" w:space="0" w:color="auto"/>
              <w:left w:val="dotted" w:sz="4" w:space="0" w:color="auto"/>
              <w:bottom w:val="dotted" w:sz="4" w:space="0" w:color="auto"/>
              <w:right w:val="dotted" w:sz="4" w:space="0" w:color="auto"/>
            </w:tcBorders>
            <w:hideMark/>
          </w:tcPr>
          <w:p w:rsidR="0002665F" w:rsidRDefault="0002665F">
            <w:pPr>
              <w:rPr>
                <w:rFonts w:ascii="Arial" w:hAnsi="Arial" w:cs="Arial"/>
                <w:sz w:val="20"/>
                <w:szCs w:val="20"/>
              </w:rPr>
            </w:pPr>
            <w:r>
              <w:rPr>
                <w:rFonts w:ascii="Arial" w:hAnsi="Arial" w:cs="Arial"/>
                <w:sz w:val="20"/>
                <w:szCs w:val="20"/>
              </w:rPr>
              <w:t>3.604</w:t>
            </w:r>
          </w:p>
        </w:tc>
        <w:tc>
          <w:tcPr>
            <w:tcW w:w="1589" w:type="dxa"/>
            <w:tcBorders>
              <w:top w:val="dotted" w:sz="4" w:space="0" w:color="auto"/>
              <w:left w:val="dotted" w:sz="4" w:space="0" w:color="auto"/>
              <w:bottom w:val="dotted" w:sz="4" w:space="0" w:color="auto"/>
              <w:right w:val="dotted" w:sz="4" w:space="0" w:color="auto"/>
            </w:tcBorders>
            <w:hideMark/>
          </w:tcPr>
          <w:p w:rsidR="0002665F" w:rsidRDefault="0002665F">
            <w:pPr>
              <w:rPr>
                <w:rFonts w:ascii="Arial" w:hAnsi="Arial" w:cs="Arial"/>
                <w:sz w:val="20"/>
                <w:szCs w:val="20"/>
              </w:rPr>
            </w:pPr>
            <w:r>
              <w:rPr>
                <w:rFonts w:ascii="Arial" w:hAnsi="Arial" w:cs="Arial"/>
                <w:sz w:val="20"/>
                <w:szCs w:val="20"/>
              </w:rPr>
              <w:t>3.529</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rPr>
                <w:rFonts w:ascii="Arial" w:hAnsi="Arial" w:cs="Arial"/>
                <w:sz w:val="20"/>
                <w:szCs w:val="20"/>
              </w:rPr>
            </w:pPr>
            <w:r>
              <w:rPr>
                <w:rFonts w:ascii="Arial" w:hAnsi="Arial" w:cs="Arial"/>
                <w:sz w:val="20"/>
                <w:szCs w:val="20"/>
              </w:rPr>
              <w:t>97,92</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rPr>
                <w:rFonts w:ascii="Arial" w:hAnsi="Arial" w:cs="Arial"/>
                <w:sz w:val="20"/>
                <w:szCs w:val="20"/>
              </w:rPr>
            </w:pPr>
            <w:r>
              <w:rPr>
                <w:rFonts w:ascii="Arial" w:hAnsi="Arial" w:cs="Arial"/>
                <w:sz w:val="20"/>
                <w:szCs w:val="20"/>
              </w:rPr>
              <w:t>41,69</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left"/>
            </w:pPr>
            <w:r>
              <w:t>Prihodi od prodaje opreme</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68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8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68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8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bl>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sz w:val="24"/>
          <w:szCs w:val="24"/>
        </w:rPr>
      </w:pPr>
      <w:r>
        <w:rPr>
          <w:sz w:val="24"/>
          <w:szCs w:val="24"/>
        </w:rPr>
        <w:t xml:space="preserve">Bilješka: </w:t>
      </w: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i/>
          <w:sz w:val="24"/>
          <w:szCs w:val="24"/>
        </w:rPr>
      </w:pPr>
      <w:r>
        <w:rPr>
          <w:i/>
          <w:sz w:val="24"/>
          <w:szCs w:val="24"/>
        </w:rPr>
        <w:t xml:space="preserve"> Škola je u izvještajnom razdoblju ostvarila 3.529 kn prihoda od uplata rata od prodanih stanova. Obveza uplate dijela iznosa (65%) u Državni proračun izdana je putem zahtjeva Gradu Rijeci krajem prosinca 2019.g. međutim obveza do 31.12.2019.nije bila podmirena.</w:t>
      </w:r>
    </w:p>
    <w:p w:rsidR="0002665F" w:rsidRDefault="0002665F" w:rsidP="0002665F">
      <w:pPr>
        <w:pStyle w:val="doc"/>
        <w:spacing w:after="0" w:line="240" w:lineRule="auto"/>
        <w:rPr>
          <w:i/>
          <w:sz w:val="24"/>
          <w:szCs w:val="24"/>
        </w:rPr>
      </w:pPr>
      <w:r>
        <w:rPr>
          <w:i/>
          <w:sz w:val="24"/>
          <w:szCs w:val="24"/>
        </w:rPr>
        <w:lastRenderedPageBreak/>
        <w:t>Indeks ostvarenja u odnosu na 2018.g. je za 58,31% manji zbog toga što smo u 2018.g.ostvarili prihod za jedan stan kojeg je vlasnica otplatila u cijelosti.</w:t>
      </w: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b/>
          <w:i/>
          <w:sz w:val="24"/>
          <w:szCs w:val="24"/>
        </w:rPr>
      </w:pPr>
    </w:p>
    <w:p w:rsidR="0002665F" w:rsidRDefault="0002665F" w:rsidP="0002665F">
      <w:pPr>
        <w:pStyle w:val="doc"/>
        <w:spacing w:after="0" w:line="240" w:lineRule="auto"/>
        <w:rPr>
          <w:b/>
          <w:i/>
          <w:sz w:val="24"/>
          <w:szCs w:val="24"/>
        </w:rPr>
      </w:pPr>
      <w:r>
        <w:rPr>
          <w:b/>
          <w:i/>
          <w:sz w:val="24"/>
          <w:szCs w:val="24"/>
        </w:rPr>
        <w:t>Rashodi za nefinancijske imovine u kunama</w:t>
      </w:r>
      <w:r w:rsidR="00101FFF">
        <w:rPr>
          <w:b/>
          <w:i/>
          <w:sz w:val="24"/>
          <w:szCs w:val="24"/>
        </w:rPr>
        <w:t>, plan tekuće godine te ostvarenje 2018.g.</w:t>
      </w:r>
      <w:r>
        <w:rPr>
          <w:b/>
          <w:i/>
          <w:sz w:val="24"/>
          <w:szCs w:val="24"/>
        </w:rPr>
        <w:t xml:space="preserve">) </w:t>
      </w:r>
    </w:p>
    <w:p w:rsidR="0002665F" w:rsidRDefault="0002665F" w:rsidP="0002665F">
      <w:pPr>
        <w:pStyle w:val="doc"/>
        <w:spacing w:after="0" w:line="240" w:lineRule="auto"/>
        <w:rPr>
          <w:sz w:val="24"/>
          <w:szCs w:val="24"/>
        </w:rPr>
      </w:pPr>
    </w:p>
    <w:tbl>
      <w:tblPr>
        <w:tblW w:w="98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3"/>
        <w:gridCol w:w="1597"/>
        <w:gridCol w:w="1739"/>
        <w:gridCol w:w="1537"/>
        <w:gridCol w:w="961"/>
        <w:gridCol w:w="1107"/>
      </w:tblGrid>
      <w:tr w:rsidR="0002665F" w:rsidTr="0002665F">
        <w:trPr>
          <w:trHeight w:val="343"/>
        </w:trPr>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Opis</w:t>
            </w:r>
          </w:p>
        </w:tc>
        <w:tc>
          <w:tcPr>
            <w:tcW w:w="159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tabs>
                <w:tab w:val="center" w:pos="890"/>
              </w:tabs>
              <w:spacing w:after="0" w:line="240" w:lineRule="auto"/>
              <w:jc w:val="center"/>
              <w:rPr>
                <w:b/>
              </w:rPr>
            </w:pPr>
            <w:r>
              <w:rPr>
                <w:b/>
              </w:rPr>
              <w:t>Ostvarenje</w:t>
            </w:r>
          </w:p>
          <w:p w:rsidR="0002665F" w:rsidRDefault="0002665F">
            <w:pPr>
              <w:pStyle w:val="doc"/>
              <w:tabs>
                <w:tab w:val="center" w:pos="890"/>
              </w:tabs>
              <w:spacing w:after="0" w:line="240" w:lineRule="auto"/>
              <w:jc w:val="center"/>
              <w:rPr>
                <w:b/>
              </w:rPr>
            </w:pPr>
            <w:r>
              <w:rPr>
                <w:b/>
              </w:rPr>
              <w:t>2018.</w:t>
            </w:r>
          </w:p>
        </w:tc>
        <w:tc>
          <w:tcPr>
            <w:tcW w:w="1739"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spacing w:after="0" w:line="240" w:lineRule="auto"/>
              <w:jc w:val="center"/>
              <w:rPr>
                <w:b/>
              </w:rPr>
            </w:pPr>
            <w:r>
              <w:rPr>
                <w:b/>
              </w:rPr>
              <w:t>Godišnji plan</w:t>
            </w:r>
          </w:p>
          <w:p w:rsidR="0002665F" w:rsidRDefault="0002665F">
            <w:pPr>
              <w:pStyle w:val="doc"/>
              <w:spacing w:after="0" w:line="240" w:lineRule="auto"/>
              <w:jc w:val="center"/>
              <w:rPr>
                <w:b/>
              </w:rPr>
            </w:pPr>
            <w:r>
              <w:rPr>
                <w:b/>
              </w:rPr>
              <w:t>2019.</w:t>
            </w:r>
          </w:p>
          <w:p w:rsidR="0002665F" w:rsidRDefault="0002665F">
            <w:pPr>
              <w:pStyle w:val="doc"/>
              <w:spacing w:after="0" w:line="240" w:lineRule="auto"/>
              <w:jc w:val="center"/>
              <w:rPr>
                <w:b/>
              </w:rPr>
            </w:pPr>
          </w:p>
        </w:tc>
        <w:tc>
          <w:tcPr>
            <w:tcW w:w="153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Ostvarenje</w:t>
            </w:r>
          </w:p>
          <w:p w:rsidR="0002665F" w:rsidRDefault="0002665F">
            <w:pPr>
              <w:pStyle w:val="doc"/>
              <w:spacing w:after="0" w:line="240" w:lineRule="auto"/>
              <w:jc w:val="center"/>
              <w:rPr>
                <w:b/>
              </w:rPr>
            </w:pPr>
            <w:r>
              <w:rPr>
                <w:b/>
              </w:rPr>
              <w:t>2019.</w:t>
            </w:r>
          </w:p>
        </w:tc>
        <w:tc>
          <w:tcPr>
            <w:tcW w:w="961" w:type="dxa"/>
            <w:tcBorders>
              <w:top w:val="dotted" w:sz="4" w:space="0" w:color="auto"/>
              <w:left w:val="dotted" w:sz="4" w:space="0" w:color="auto"/>
              <w:bottom w:val="dotted" w:sz="4" w:space="0" w:color="auto"/>
              <w:right w:val="dotted" w:sz="4" w:space="0" w:color="auto"/>
            </w:tcBorders>
            <w:shd w:val="clear" w:color="auto" w:fill="FDE9D9"/>
          </w:tcPr>
          <w:p w:rsidR="0002665F" w:rsidRDefault="0002665F">
            <w:pPr>
              <w:pStyle w:val="doc"/>
              <w:tabs>
                <w:tab w:val="center" w:pos="740"/>
              </w:tabs>
              <w:spacing w:after="0" w:line="240" w:lineRule="auto"/>
              <w:jc w:val="center"/>
              <w:rPr>
                <w:b/>
              </w:rPr>
            </w:pPr>
            <w:r>
              <w:rPr>
                <w:b/>
              </w:rPr>
              <w:t>Indeks</w:t>
            </w:r>
          </w:p>
          <w:p w:rsidR="0002665F" w:rsidRDefault="0002665F">
            <w:pPr>
              <w:pStyle w:val="doc"/>
              <w:tabs>
                <w:tab w:val="center" w:pos="740"/>
              </w:tabs>
              <w:spacing w:after="0" w:line="240" w:lineRule="auto"/>
              <w:jc w:val="center"/>
              <w:rPr>
                <w:b/>
              </w:rPr>
            </w:pPr>
            <w:r>
              <w:rPr>
                <w:b/>
              </w:rPr>
              <w:t>(4/3)</w:t>
            </w:r>
          </w:p>
          <w:p w:rsidR="0002665F" w:rsidRDefault="0002665F">
            <w:pPr>
              <w:pStyle w:val="doc"/>
              <w:tabs>
                <w:tab w:val="center" w:pos="740"/>
              </w:tabs>
              <w:spacing w:after="0" w:line="240" w:lineRule="auto"/>
              <w:jc w:val="center"/>
              <w:rPr>
                <w:b/>
              </w:rPr>
            </w:pPr>
          </w:p>
        </w:tc>
        <w:tc>
          <w:tcPr>
            <w:tcW w:w="110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tabs>
                <w:tab w:val="center" w:pos="740"/>
              </w:tabs>
              <w:spacing w:after="0" w:line="240" w:lineRule="auto"/>
              <w:jc w:val="center"/>
              <w:rPr>
                <w:b/>
              </w:rPr>
            </w:pPr>
            <w:r>
              <w:rPr>
                <w:b/>
              </w:rPr>
              <w:t>Indeks</w:t>
            </w:r>
          </w:p>
          <w:p w:rsidR="0002665F" w:rsidRDefault="0002665F">
            <w:pPr>
              <w:pStyle w:val="doc"/>
              <w:tabs>
                <w:tab w:val="center" w:pos="740"/>
              </w:tabs>
              <w:spacing w:after="0" w:line="240" w:lineRule="auto"/>
              <w:jc w:val="center"/>
              <w:rPr>
                <w:b/>
              </w:rPr>
            </w:pPr>
            <w:r>
              <w:rPr>
                <w:b/>
              </w:rPr>
              <w:t>(4/2)</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1</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2</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3</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4</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5</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rPr>
                <w:i/>
                <w:sz w:val="16"/>
                <w:szCs w:val="16"/>
              </w:rPr>
            </w:pPr>
            <w:r>
              <w:rPr>
                <w:i/>
                <w:sz w:val="16"/>
                <w:szCs w:val="16"/>
              </w:rPr>
              <w:t>6</w:t>
            </w:r>
          </w:p>
        </w:tc>
      </w:tr>
      <w:tr w:rsidR="0002665F" w:rsidTr="0002665F">
        <w:tc>
          <w:tcPr>
            <w:tcW w:w="2953"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left"/>
              <w:rPr>
                <w:b/>
              </w:rPr>
            </w:pPr>
            <w:r>
              <w:rPr>
                <w:b/>
              </w:rPr>
              <w:t>Rashodi za nabavu nefinancijske imovine ukupno</w:t>
            </w:r>
          </w:p>
          <w:p w:rsidR="0002665F" w:rsidRDefault="0002665F">
            <w:pPr>
              <w:pStyle w:val="doc"/>
              <w:spacing w:after="0" w:line="240" w:lineRule="auto"/>
              <w:rPr>
                <w:b/>
              </w:rPr>
            </w:pPr>
            <w:r>
              <w:rPr>
                <w:b/>
              </w:rPr>
              <w:t>(u nastavku po prirodi) 4</w:t>
            </w:r>
          </w:p>
        </w:tc>
        <w:tc>
          <w:tcPr>
            <w:tcW w:w="159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84.700</w:t>
            </w:r>
          </w:p>
        </w:tc>
        <w:tc>
          <w:tcPr>
            <w:tcW w:w="1739"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551.248</w:t>
            </w:r>
          </w:p>
        </w:tc>
        <w:tc>
          <w:tcPr>
            <w:tcW w:w="153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right"/>
              <w:rPr>
                <w:b/>
              </w:rPr>
            </w:pPr>
            <w:r>
              <w:rPr>
                <w:b/>
              </w:rPr>
              <w:t>533.777</w:t>
            </w:r>
          </w:p>
        </w:tc>
        <w:tc>
          <w:tcPr>
            <w:tcW w:w="961"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96,83</w:t>
            </w:r>
          </w:p>
        </w:tc>
        <w:tc>
          <w:tcPr>
            <w:tcW w:w="1107" w:type="dxa"/>
            <w:tcBorders>
              <w:top w:val="dotted" w:sz="4" w:space="0" w:color="auto"/>
              <w:left w:val="dotted" w:sz="4" w:space="0" w:color="auto"/>
              <w:bottom w:val="dotted" w:sz="4" w:space="0" w:color="auto"/>
              <w:right w:val="dotted" w:sz="4" w:space="0" w:color="auto"/>
            </w:tcBorders>
            <w:shd w:val="clear" w:color="auto" w:fill="FDE9D9"/>
            <w:hideMark/>
          </w:tcPr>
          <w:p w:rsidR="0002665F" w:rsidRDefault="0002665F">
            <w:pPr>
              <w:pStyle w:val="doc"/>
              <w:spacing w:after="0" w:line="240" w:lineRule="auto"/>
              <w:jc w:val="center"/>
              <w:rPr>
                <w:b/>
              </w:rPr>
            </w:pPr>
            <w:r>
              <w:rPr>
                <w:b/>
              </w:rPr>
              <w:t>630,20</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Rashodi za nabavu objekata</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rPr>
                <w:b/>
              </w:rPr>
            </w:pPr>
          </w:p>
        </w:tc>
        <w:tc>
          <w:tcPr>
            <w:tcW w:w="173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rPr>
                <w:b/>
              </w:rPr>
            </w:pPr>
          </w:p>
        </w:tc>
        <w:tc>
          <w:tcPr>
            <w:tcW w:w="153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rPr>
                <w:b/>
              </w:rPr>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rPr>
                <w:b/>
              </w:rP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rPr>
                <w:b/>
              </w:rP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Rashodi za nabavu opreme 422</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68.441</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94.280</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83.309</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88,36</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121,72</w:t>
            </w: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Rashodi za nabavu prijevoznih sredstava</w:t>
            </w: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73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3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r w:rsidR="0002665F" w:rsidTr="0002665F">
        <w:tc>
          <w:tcPr>
            <w:tcW w:w="2953"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pPr>
            <w:r>
              <w:t>Rashodi za nabavu knjiga 424</w:t>
            </w:r>
          </w:p>
        </w:tc>
        <w:tc>
          <w:tcPr>
            <w:tcW w:w="159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16.259</w:t>
            </w:r>
          </w:p>
        </w:tc>
        <w:tc>
          <w:tcPr>
            <w:tcW w:w="1739"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456.968</w:t>
            </w:r>
          </w:p>
        </w:tc>
        <w:tc>
          <w:tcPr>
            <w:tcW w:w="153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right"/>
            </w:pPr>
            <w:r>
              <w:t>450.468</w:t>
            </w:r>
          </w:p>
        </w:tc>
        <w:tc>
          <w:tcPr>
            <w:tcW w:w="961"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98,58</w:t>
            </w:r>
          </w:p>
        </w:tc>
        <w:tc>
          <w:tcPr>
            <w:tcW w:w="1107" w:type="dxa"/>
            <w:tcBorders>
              <w:top w:val="dotted" w:sz="4" w:space="0" w:color="auto"/>
              <w:left w:val="dotted" w:sz="4" w:space="0" w:color="auto"/>
              <w:bottom w:val="dotted" w:sz="4" w:space="0" w:color="auto"/>
              <w:right w:val="dotted" w:sz="4" w:space="0" w:color="auto"/>
            </w:tcBorders>
            <w:hideMark/>
          </w:tcPr>
          <w:p w:rsidR="0002665F" w:rsidRDefault="0002665F">
            <w:pPr>
              <w:pStyle w:val="doc"/>
              <w:spacing w:after="0" w:line="240" w:lineRule="auto"/>
              <w:jc w:val="center"/>
            </w:pPr>
            <w:r>
              <w:t>2.770,58</w:t>
            </w:r>
          </w:p>
        </w:tc>
      </w:tr>
      <w:tr w:rsidR="0002665F" w:rsidTr="0002665F">
        <w:tc>
          <w:tcPr>
            <w:tcW w:w="2953"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pPr>
          </w:p>
        </w:tc>
        <w:tc>
          <w:tcPr>
            <w:tcW w:w="159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739"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153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right"/>
            </w:pPr>
          </w:p>
        </w:tc>
        <w:tc>
          <w:tcPr>
            <w:tcW w:w="961"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c>
          <w:tcPr>
            <w:tcW w:w="1107" w:type="dxa"/>
            <w:tcBorders>
              <w:top w:val="dotted" w:sz="4" w:space="0" w:color="auto"/>
              <w:left w:val="dotted" w:sz="4" w:space="0" w:color="auto"/>
              <w:bottom w:val="dotted" w:sz="4" w:space="0" w:color="auto"/>
              <w:right w:val="dotted" w:sz="4" w:space="0" w:color="auto"/>
            </w:tcBorders>
          </w:tcPr>
          <w:p w:rsidR="0002665F" w:rsidRDefault="0002665F">
            <w:pPr>
              <w:pStyle w:val="doc"/>
              <w:spacing w:after="0" w:line="240" w:lineRule="auto"/>
              <w:jc w:val="center"/>
            </w:pPr>
          </w:p>
        </w:tc>
      </w:tr>
    </w:tbl>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sz w:val="24"/>
          <w:szCs w:val="24"/>
        </w:rPr>
      </w:pPr>
      <w:r>
        <w:rPr>
          <w:sz w:val="24"/>
          <w:szCs w:val="24"/>
        </w:rPr>
        <w:t xml:space="preserve">Bilješka: </w:t>
      </w:r>
    </w:p>
    <w:p w:rsidR="0002665F" w:rsidRDefault="0002665F" w:rsidP="0002665F">
      <w:pPr>
        <w:pStyle w:val="doc"/>
        <w:spacing w:after="0" w:line="240" w:lineRule="auto"/>
        <w:rPr>
          <w:sz w:val="24"/>
          <w:szCs w:val="24"/>
        </w:rPr>
      </w:pPr>
    </w:p>
    <w:p w:rsidR="0002665F" w:rsidRDefault="0002665F" w:rsidP="0002665F">
      <w:pPr>
        <w:pStyle w:val="doc"/>
        <w:spacing w:after="0" w:line="240" w:lineRule="auto"/>
        <w:rPr>
          <w:i/>
          <w:sz w:val="24"/>
          <w:szCs w:val="24"/>
        </w:rPr>
      </w:pPr>
      <w:r>
        <w:rPr>
          <w:i/>
          <w:sz w:val="24"/>
          <w:szCs w:val="24"/>
        </w:rPr>
        <w:t xml:space="preserve">Škola je u ovom izvještajnom razdoblju u odnosu na ostvarenje u 2018.g. za nabavu nefinancijske imovine i investicijskog ulaganja u dugotrajnu imovinu ukupno utrošila 533.777 kn. Iz vlastitih prihoda i viškova prihoda iz prijašnjih godina te prihoda MZO za provedbu Cjelovite </w:t>
      </w:r>
      <w:proofErr w:type="spellStart"/>
      <w:r>
        <w:rPr>
          <w:i/>
          <w:sz w:val="24"/>
          <w:szCs w:val="24"/>
        </w:rPr>
        <w:t>kurikularne</w:t>
      </w:r>
      <w:proofErr w:type="spellEnd"/>
      <w:r>
        <w:rPr>
          <w:i/>
          <w:sz w:val="24"/>
          <w:szCs w:val="24"/>
        </w:rPr>
        <w:t xml:space="preserve"> reforme ukupno 40.366 kn, a od prihoda Grada Rijeke 42.943 kn. U iznosu od 444,237 kn nabavljeni su udžbenici za učenike. Za šk. lektiru u šk. knjižnici utrošeno je 6.231 kuna.</w:t>
      </w:r>
    </w:p>
    <w:p w:rsidR="0002665F" w:rsidRDefault="0002665F" w:rsidP="0002665F">
      <w:pPr>
        <w:pStyle w:val="doc"/>
        <w:spacing w:after="0" w:line="240" w:lineRule="auto"/>
        <w:rPr>
          <w:i/>
          <w:sz w:val="24"/>
          <w:szCs w:val="24"/>
        </w:rPr>
      </w:pPr>
      <w:r>
        <w:rPr>
          <w:i/>
          <w:sz w:val="24"/>
          <w:szCs w:val="24"/>
        </w:rPr>
        <w:t xml:space="preserve">Za potrebe nastave te ostalih potreba u školi u sklopu provedbe </w:t>
      </w:r>
      <w:proofErr w:type="spellStart"/>
      <w:r>
        <w:rPr>
          <w:i/>
          <w:sz w:val="24"/>
          <w:szCs w:val="24"/>
        </w:rPr>
        <w:t>Kurikularne</w:t>
      </w:r>
      <w:proofErr w:type="spellEnd"/>
      <w:r>
        <w:rPr>
          <w:i/>
          <w:sz w:val="24"/>
          <w:szCs w:val="24"/>
        </w:rPr>
        <w:t xml:space="preserve"> reforme ali i iz ostvarenih vlastitih prihoda, viškova iz ranijih perioda i odobrenih sredstava od Grada te u okviru drugih programa kupljena su nastavna sredstva i pomagala.</w:t>
      </w:r>
    </w:p>
    <w:p w:rsidR="00101FFF" w:rsidRDefault="00101FFF" w:rsidP="0002665F">
      <w:pPr>
        <w:pStyle w:val="doc"/>
        <w:spacing w:after="0" w:line="240" w:lineRule="auto"/>
        <w:rPr>
          <w:i/>
          <w:sz w:val="24"/>
          <w:szCs w:val="24"/>
        </w:rPr>
      </w:pPr>
    </w:p>
    <w:p w:rsidR="00101FFF" w:rsidRDefault="00101FFF" w:rsidP="0002665F">
      <w:pPr>
        <w:pStyle w:val="doc"/>
        <w:spacing w:after="0" w:line="240" w:lineRule="auto"/>
        <w:rPr>
          <w:i/>
          <w:sz w:val="24"/>
          <w:szCs w:val="24"/>
        </w:rPr>
      </w:pPr>
    </w:p>
    <w:p w:rsidR="00101FFF" w:rsidRDefault="00101FFF" w:rsidP="0002665F">
      <w:pPr>
        <w:pStyle w:val="doc"/>
        <w:spacing w:after="0" w:line="240" w:lineRule="auto"/>
        <w:rPr>
          <w:i/>
          <w:sz w:val="24"/>
          <w:szCs w:val="24"/>
        </w:rPr>
      </w:pPr>
    </w:p>
    <w:p w:rsidR="00101FFF" w:rsidRDefault="00101FFF" w:rsidP="0002665F">
      <w:pPr>
        <w:pStyle w:val="doc"/>
        <w:spacing w:after="0" w:line="240" w:lineRule="auto"/>
        <w:rPr>
          <w:i/>
          <w:sz w:val="24"/>
          <w:szCs w:val="24"/>
        </w:rPr>
      </w:pPr>
    </w:p>
    <w:p w:rsidR="00101FFF" w:rsidRDefault="00101FFF" w:rsidP="0002665F">
      <w:pPr>
        <w:pStyle w:val="doc"/>
        <w:spacing w:after="0" w:line="240" w:lineRule="auto"/>
        <w:rPr>
          <w:i/>
          <w:sz w:val="24"/>
          <w:szCs w:val="24"/>
        </w:rPr>
      </w:pPr>
    </w:p>
    <w:p w:rsidR="00101FFF" w:rsidRDefault="00101FFF" w:rsidP="0002665F">
      <w:pPr>
        <w:pStyle w:val="doc"/>
        <w:spacing w:after="0" w:line="240" w:lineRule="auto"/>
        <w:rPr>
          <w:i/>
          <w:sz w:val="24"/>
          <w:szCs w:val="24"/>
        </w:rPr>
      </w:pPr>
    </w:p>
    <w:p w:rsidR="00101FFF" w:rsidRDefault="00101FFF" w:rsidP="0002665F">
      <w:pPr>
        <w:pStyle w:val="doc"/>
        <w:spacing w:after="0" w:line="240" w:lineRule="auto"/>
        <w:rPr>
          <w:sz w:val="24"/>
          <w:szCs w:val="24"/>
        </w:rPr>
      </w:pPr>
      <w:r>
        <w:rPr>
          <w:sz w:val="24"/>
          <w:szCs w:val="24"/>
        </w:rPr>
        <w:t>Voditeljica računovodstva:</w:t>
      </w:r>
      <w:r>
        <w:rPr>
          <w:sz w:val="24"/>
          <w:szCs w:val="24"/>
        </w:rPr>
        <w:tab/>
      </w:r>
      <w:r>
        <w:rPr>
          <w:sz w:val="24"/>
          <w:szCs w:val="24"/>
        </w:rPr>
        <w:tab/>
      </w:r>
      <w:r>
        <w:rPr>
          <w:sz w:val="24"/>
          <w:szCs w:val="24"/>
        </w:rPr>
        <w:tab/>
      </w:r>
      <w:r>
        <w:rPr>
          <w:sz w:val="24"/>
          <w:szCs w:val="24"/>
        </w:rPr>
        <w:tab/>
      </w:r>
      <w:r>
        <w:rPr>
          <w:sz w:val="24"/>
          <w:szCs w:val="24"/>
        </w:rPr>
        <w:tab/>
        <w:t>Ravnateljica:</w:t>
      </w:r>
    </w:p>
    <w:p w:rsidR="00101FFF" w:rsidRDefault="00101FFF" w:rsidP="0002665F">
      <w:pPr>
        <w:pStyle w:val="doc"/>
        <w:spacing w:after="0" w:line="240" w:lineRule="auto"/>
        <w:rPr>
          <w:sz w:val="24"/>
          <w:szCs w:val="24"/>
        </w:rPr>
      </w:pPr>
      <w:r>
        <w:rPr>
          <w:sz w:val="24"/>
          <w:szCs w:val="24"/>
        </w:rPr>
        <w:tab/>
      </w:r>
    </w:p>
    <w:p w:rsidR="00101FFF" w:rsidRPr="00101FFF" w:rsidRDefault="00101FFF" w:rsidP="0002665F">
      <w:pPr>
        <w:pStyle w:val="doc"/>
        <w:spacing w:after="0" w:line="240" w:lineRule="auto"/>
        <w:rPr>
          <w:sz w:val="24"/>
          <w:szCs w:val="24"/>
        </w:rPr>
      </w:pPr>
      <w:r>
        <w:rPr>
          <w:sz w:val="24"/>
          <w:szCs w:val="24"/>
        </w:rPr>
        <w:t>/Lara Glavan/</w:t>
      </w:r>
      <w:r>
        <w:rPr>
          <w:sz w:val="24"/>
          <w:szCs w:val="24"/>
        </w:rPr>
        <w:tab/>
      </w:r>
      <w:r>
        <w:rPr>
          <w:sz w:val="24"/>
          <w:szCs w:val="24"/>
        </w:rPr>
        <w:tab/>
      </w:r>
      <w:r>
        <w:rPr>
          <w:sz w:val="24"/>
          <w:szCs w:val="24"/>
        </w:rPr>
        <w:tab/>
      </w:r>
      <w:r>
        <w:rPr>
          <w:sz w:val="24"/>
          <w:szCs w:val="24"/>
        </w:rPr>
        <w:tab/>
      </w:r>
      <w:r>
        <w:rPr>
          <w:sz w:val="24"/>
          <w:szCs w:val="24"/>
        </w:rPr>
        <w:tab/>
      </w:r>
      <w:r>
        <w:rPr>
          <w:sz w:val="24"/>
          <w:szCs w:val="24"/>
        </w:rPr>
        <w:tab/>
        <w:t>Marjana Seršić, prof.</w:t>
      </w:r>
      <w:bookmarkStart w:id="0" w:name="_GoBack"/>
      <w:bookmarkEnd w:id="0"/>
    </w:p>
    <w:p w:rsidR="0002665F" w:rsidRDefault="0002665F" w:rsidP="0002665F">
      <w:pPr>
        <w:pStyle w:val="doc"/>
        <w:spacing w:after="0" w:line="240" w:lineRule="auto"/>
        <w:rPr>
          <w:sz w:val="24"/>
          <w:szCs w:val="24"/>
        </w:rPr>
      </w:pPr>
    </w:p>
    <w:p w:rsidR="00DA2A49" w:rsidRDefault="00DA2A49"/>
    <w:sectPr w:rsidR="00DA2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E9"/>
    <w:rsid w:val="0002665F"/>
    <w:rsid w:val="00101FFF"/>
    <w:rsid w:val="001B0EE9"/>
    <w:rsid w:val="00DA2A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760E"/>
  <w15:chartTrackingRefBased/>
  <w15:docId w15:val="{76C68D21-493C-4705-9B18-A4B1CB3A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5F"/>
    <w:pPr>
      <w:spacing w:line="300" w:lineRule="auto"/>
    </w:pPr>
    <w:rPr>
      <w:rFonts w:ascii="Calibri" w:eastAsia="Times New Roman" w:hAnsi="Calibri" w:cs="Times New Roman"/>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oc">
    <w:name w:val="doc"/>
    <w:basedOn w:val="Normal"/>
    <w:rsid w:val="0002665F"/>
    <w:pPr>
      <w:spacing w:after="75" w:line="300" w:lineRule="atLeast"/>
      <w:jc w:val="both"/>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2020-02-24T12:03:00Z</dcterms:created>
  <dcterms:modified xsi:type="dcterms:W3CDTF">2020-02-24T12:10:00Z</dcterms:modified>
</cp:coreProperties>
</file>